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утв. решением Совета Союза</w:t>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протокол № 1  от 03.02.2026</w:t>
      </w:r>
    </w:p>
    <w:p w:rsidR="00000000" w:rsidDel="00000000" w:rsidP="00000000" w:rsidRDefault="00000000" w:rsidRPr="00000000" w14:paraId="00000003">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ПОЛОЖЕНИЕ О ПРОВЕДЕНИИ КОНКУРСА ПО ОТБОРУ УПРАВЛЯЮЩЕЙ КОМПАНИИ ДЛЯ ЗАКЛЮЧЕНИЯ ДОГОВОРА ДОВЕРИТЕЛЬНОГО УПРАВЛЕНИЯ СРЕДСТВАМИ КОМПЕНСАЦИОННОГО ФОНДА СРО СОЮЗА АРБИТРАЖНЫХ УПРАВЛЯЮЩИХ «ПРОРЕШЕНИЯ»</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Общие положения</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о проведении конкурса по отбору управляющей компании для заключения договора доверительного управления средствами компенсационного фонда Союза «Саморегулируемая организация арбитражных управляющих «ПроРешения» (далее – Положение) разработано в соответствии с Федеральным законом от 01.12.2007 г. № 315-ФЗ «О саморегулируемых организациях», Федеральным законом от 26.10.2002 г. № 127-ФЗ «О несостоятельности (банкротстве)», других федеральных законов, Федеральным стандартом деятельности саморегулируемых организаций арбитражных управляющих «Правила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утвержденных Приказом Минэкономразвития Российской Федерации от 03.07.2015 г. № 432, а также Уставом Союза «Саморегулируемая организация арбитражных управляющих «ПроРешения» (далее – Союз, саморегулируемая организация).</w:t>
      </w: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Компенсационным фондом является обособленное имущество, являющееся собственностью Союза, которое формируется исключительно в денежной форме за счет взносов членов Союза для финансового обеспечения ответственности Союза по возмещению убытков, причиненных членами Союза при исполнении обязанностей арбитражного управляющего в соответствии с Федеральным законом «О несостоятельности (банкротстве)».</w:t>
      </w:r>
      <w:r w:rsidDel="00000000" w:rsidR="00000000" w:rsidRPr="00000000">
        <w:rPr>
          <w:rtl w:val="0"/>
        </w:rPr>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Размещение средств компенсационного фонда Союза в целях их сохранения и прироста, их инвестирование осуществляются управляющей компанией на основании договора доверительного управления средствами компенсационного фонда Союза в порядке, установленном законодательством Российской Федерации, Уставом и внутренними документами Союза.</w:t>
      </w:r>
      <w:r w:rsidDel="00000000" w:rsidR="00000000" w:rsidRPr="00000000">
        <w:rPr>
          <w:rtl w:val="0"/>
        </w:rPr>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Руководствуясь настоящим Положением, Союз приглашает юридических лиц к участию в открытом конкурсе по выбору управляющей компании для заключения договора доверительного управления средствами компенсационного фонда Союза. </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определяет порядок проведения конкурса по отбору управляющей компании для заключения договора доверительного управления средствами компенсационного фонда Союза. </w:t>
      </w:r>
      <w:r w:rsidDel="00000000" w:rsidR="00000000" w:rsidRPr="00000000">
        <w:rPr>
          <w:rtl w:val="0"/>
        </w:rPr>
      </w:r>
    </w:p>
    <w:p w:rsidR="00000000" w:rsidDel="00000000" w:rsidP="00000000" w:rsidRDefault="00000000" w:rsidRPr="00000000" w14:paraId="0000000E">
      <w:pPr>
        <w:tabs>
          <w:tab w:val="left" w:leader="none" w:pos="127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Предмет конкурсного отбора</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Выбор управляющей компании осуществляется Союзом на конкурсной основе в порядке, установленном законодательством Российской Федерации и настоящим Положением. </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По результатам конкурса определяется управляющая компания, соответствующая требованиям, установленными настоящим Положением, с которой заключается договор доверительного управления средствами компенсационного фонда Союза.</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Конкурсный отбор является открытым по составу претендентов.</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Условиями конкурса являются обязательства управляющей компании:</w:t>
      </w:r>
      <w:r w:rsidDel="00000000" w:rsidR="00000000" w:rsidRPr="00000000">
        <w:rPr>
          <w:rtl w:val="0"/>
        </w:rPr>
      </w:r>
    </w:p>
    <w:p w:rsidR="00000000" w:rsidDel="00000000" w:rsidP="00000000" w:rsidRDefault="00000000" w:rsidRPr="00000000" w14:paraId="00000015">
      <w:pPr>
        <w:numPr>
          <w:ilvl w:val="1"/>
          <w:numId w:val="9"/>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sz w:val="23"/>
          <w:szCs w:val="23"/>
        </w:rPr>
      </w:pPr>
      <w:r w:rsidDel="00000000" w:rsidR="00000000" w:rsidRPr="00000000">
        <w:rPr>
          <w:rFonts w:ascii="Times New Roman" w:cs="Times New Roman" w:eastAsia="Times New Roman" w:hAnsi="Times New Roman"/>
          <w:color w:val="000000"/>
          <w:sz w:val="23"/>
          <w:szCs w:val="23"/>
          <w:rtl w:val="0"/>
        </w:rPr>
        <w:t xml:space="preserve">выполнение условий договора доверительного управления с организатором конкурса в соответствии с требованиями к такому договору, установленными настоящим Положением;</w:t>
      </w:r>
      <w:r w:rsidDel="00000000" w:rsidR="00000000" w:rsidRPr="00000000">
        <w:rPr>
          <w:rtl w:val="0"/>
        </w:rPr>
      </w:r>
    </w:p>
    <w:p w:rsidR="00000000" w:rsidDel="00000000" w:rsidP="00000000" w:rsidRDefault="00000000" w:rsidRPr="00000000" w14:paraId="00000016">
      <w:pPr>
        <w:numPr>
          <w:ilvl w:val="1"/>
          <w:numId w:val="9"/>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sz w:val="23"/>
          <w:szCs w:val="23"/>
        </w:rPr>
      </w:pPr>
      <w:r w:rsidDel="00000000" w:rsidR="00000000" w:rsidRPr="00000000">
        <w:rPr>
          <w:rFonts w:ascii="Times New Roman" w:cs="Times New Roman" w:eastAsia="Times New Roman" w:hAnsi="Times New Roman"/>
          <w:color w:val="000000"/>
          <w:sz w:val="23"/>
          <w:szCs w:val="23"/>
          <w:rtl w:val="0"/>
        </w:rPr>
        <w:t xml:space="preserve">размещение средств компенсационного фонда в соответствии с условиями Инвестиционной декларации, утвержденной Советом Союза.</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709" w:firstLine="0"/>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709" w:firstLine="0"/>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Организатор конкурса. Конкурсная комиссия</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Союз размещает на официальном сайте извещение о проведении конкурса (далее – извещение). В извещении указываются следующие сведения:</w:t>
      </w:r>
      <w:r w:rsidDel="00000000" w:rsidR="00000000" w:rsidRPr="00000000">
        <w:rPr>
          <w:rtl w:val="0"/>
        </w:rPr>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наименование, местонахождение, почтовый адрес, адрес электронной почты;</w:t>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предмет конкурса;</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место и сроки приема заявок на участие в конкурсе (далее – заявки);</w:t>
      </w:r>
      <w:r w:rsidDel="00000000" w:rsidR="00000000" w:rsidRPr="00000000">
        <w:rPr>
          <w:rtl w:val="0"/>
        </w:rPr>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порядок приема заявок;</w:t>
      </w:r>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порядок определения победителя конкурса;</w:t>
      </w:r>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tabs>
          <w:tab w:val="left" w:leader="none" w:pos="426"/>
          <w:tab w:val="left" w:leader="none" w:pos="127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место, дата, время заседаний Конкурсной комиссии.</w:t>
      </w: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Организатором конкурса выступает Конкурсная комиссия Союза. Количественный и персональный состав Конкурсной комиссии определяется и утверждается решением Совета Союза в соответствии с Уставом и внутренними документами Союзами.</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Заседание Конкурсной комиссии является правомочным, если на нем присутствует не менее чем пятьдесят процентов общего числа ее членов. Решения Конкурсной комиссии принимаются большинством голосов от числа голосов членов, принявших участие в заседании. В случае равенства числа голосов голос председателя Конкурсной комиссии считается решающим. При голосовании каждый член комиссии имеет один голос.</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Конкурсная комиссия осуществляет следующие полномочия:</w:t>
      </w:r>
    </w:p>
    <w:p w:rsidR="00000000" w:rsidDel="00000000" w:rsidP="00000000" w:rsidRDefault="00000000" w:rsidRPr="00000000" w14:paraId="00000025">
      <w:pPr>
        <w:numPr>
          <w:ilvl w:val="0"/>
          <w:numId w:val="10"/>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разрабатывает и утверждает формы заявки на участие в конкурсе, а также иных документов, связанных с организацией и проведением конкурса;</w:t>
      </w:r>
      <w:r w:rsidDel="00000000" w:rsidR="00000000" w:rsidRPr="00000000">
        <w:rPr>
          <w:rtl w:val="0"/>
        </w:rPr>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устанавливает сроки и место приема заявок на участие в конкурсе и документов, предусмотренных настоящим Положением;</w:t>
      </w:r>
      <w:r w:rsidDel="00000000" w:rsidR="00000000" w:rsidRPr="00000000">
        <w:rPr>
          <w:rtl w:val="0"/>
        </w:rPr>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определяет место, дату и время заседания по рассмотрению поступивших заявок на участие в конкурсе и определению победителя конкурса;</w:t>
      </w:r>
      <w:r w:rsidDel="00000000" w:rsidR="00000000" w:rsidRPr="00000000">
        <w:rPr>
          <w:rtl w:val="0"/>
        </w:rPr>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осуществляет рассмотрение заявок на участие в конкурсе и оценку претендентов на соответствие установленным требованиям, определяет участников и победителей конкурса в соответствии с критериями, установленными настоящим Положением;</w:t>
      </w:r>
      <w:r w:rsidDel="00000000" w:rsidR="00000000" w:rsidRPr="00000000">
        <w:rPr>
          <w:rtl w:val="0"/>
        </w:rPr>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осуществляет иные полномочия, предусмотренные внутренними документами Союза.</w:t>
      </w:r>
      <w:r w:rsidDel="00000000" w:rsidR="00000000" w:rsidRPr="00000000">
        <w:rPr>
          <w:rtl w:val="0"/>
        </w:rPr>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За разъяснениями по порядку проведения конкурса и конкурсной документации претендент может обращаться до истечения срока подачи заявок на участие в конкурсном отборе к Конкурсной комиссии путем направления соответствующего запроса.</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любое время, но не позднее, чем за 5 (пять) рабочих дней до окончания срока представления конкурсных заявок, Конкурсная комиссия по своей инициативе или в ответ на запрос претендента, может внести дополнения и изменения в конкурсную документацию.</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Претендент вправе изменить или отозвать свою заявку на участие в конкурсе в любое время до истечения установленного срока приема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установленного срока приема заявок на участие в конкурсе.</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Один претендент вправе подать только одну заявку на участие в конкурсе.</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tabs>
          <w:tab w:val="left" w:leader="none" w:pos="127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Каждый претендент и участник конкурса самостоятельно несет все расходы, связанные с участием в конкурсе, а также подготовкой и подачей заявки на участие в конкурсе и документов, предусмотренных настоящим Положением.</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tabs>
          <w:tab w:val="left" w:leader="none" w:pos="1276"/>
          <w:tab w:val="left" w:leader="none" w:pos="5246"/>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Решения Конкурсной комиссии оформляются протоколами, которые подписываются всеми членами комиссии, принявшими участие в заседании.</w:t>
      </w:r>
    </w:p>
    <w:p w:rsidR="00000000" w:rsidDel="00000000" w:rsidP="00000000" w:rsidRDefault="00000000" w:rsidRPr="00000000" w14:paraId="00000030">
      <w:pPr>
        <w:tabs>
          <w:tab w:val="left" w:leader="none" w:pos="1276"/>
          <w:tab w:val="left" w:leader="none" w:pos="524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0"/>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Требования к участникам конкурса</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26"/>
          <w:tab w:val="left" w:leader="none" w:pos="1276"/>
        </w:tabs>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 качестве участников конкурса могут выступать компании, осуществляющие деятельность по управлению инвестиционными фондами, паевыми инвестиционными фондами и негосударственными пенсионными фондами (далее – управляющие компании).</w:t>
      </w:r>
      <w:r w:rsidDel="00000000" w:rsidR="00000000" w:rsidRPr="00000000">
        <w:rPr>
          <w:rtl w:val="0"/>
        </w:rPr>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 качестве участника конкурса может выступать управляющая компания, соответствующая следующим требованиям:</w:t>
      </w:r>
      <w:r w:rsidDel="00000000" w:rsidR="00000000" w:rsidRPr="00000000">
        <w:rPr>
          <w:rtl w:val="0"/>
        </w:rPr>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отсутствие решений арбитражного суда о введении в отношении управляющей компании в течение двух лет, предшествующих дате подачи заявки на участие в конкурсе, процедур банкротства, предусмотренных законодательством о банкротстве;</w:t>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неприменение санкций к управляющей компании в виде аннулирования или приостановления действия лицензии на осуществление деятельности управляющей компании в течение 2 (двух) лет, предшествующих дате подачи заявки на участие в конкурсе;</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получение дохода (отсутствие убытков) управляющей компанией в течение 2 (двух) лет, предшествующих году подачи заявки на участие в конкурсе;</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неприменение административного наказания на дату подачи заявки на участие в конкурсе за совершение административного нарушения в области рынка ценных бумаг и финансовых услуг к управляющей компании и ее руководителю;</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отсутствие просроченной задолженности по уплате обязательных платежей по состоянию на 1 января года, предшествующего году проведения конкурса, на 1 января года, в котором проводится конкурс, а также на последнюю отчетную дату перед датой подачи заявки на участие в конкурсе;</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размер активов, находящихся в управлении по состоянию на последнюю отчетную дату каждого квартала года, предшествующего году проведения конкурса, а также по состоянию на последнюю отчетную дату каждого квартала года, в котором проводится конкурс, составляет не менее 200 млн. руб.;</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продолжительность деятельности управляющей компании на дату подачи заявки на участие в конкурсе должна составлять не менее 5 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Началом деятельности в качестве управляющей компании паевых инвестиционных фондов считается дата завершения формирования (первоначального размещения инвестиционных паев) первого инвестиционного фонда;</w:t>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соответствие требованиям законодательства Российской Федерации о минимальном размере собственного капитала.</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tabs>
          <w:tab w:val="left" w:leader="none" w:pos="426"/>
          <w:tab w:val="left" w:leader="none" w:pos="127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Управляющая компания не может быть аффилированным лицом в отношении саморегулируемой организации арбитражных управляющих и специализированного депозитария, с которым заключен договор саморегулируемой организацией арбитражных управляющих, или их аффилированных лиц.</w:t>
      </w:r>
      <w:r w:rsidDel="00000000" w:rsidR="00000000" w:rsidRPr="00000000">
        <w:rPr>
          <w:rtl w:val="0"/>
        </w:rPr>
      </w:r>
    </w:p>
    <w:p w:rsidR="00000000" w:rsidDel="00000000" w:rsidP="00000000" w:rsidRDefault="00000000" w:rsidRPr="00000000" w14:paraId="0000003F">
      <w:pPr>
        <w:tabs>
          <w:tab w:val="left" w:leader="none" w:pos="426"/>
          <w:tab w:val="left" w:leader="none" w:pos="127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Порядок подачи заявок на участие в конкурсе</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При подготовке к проведению конкурса Конкурсная комиссия осуществляет прием заявок на участие в конкурсе и предложений о критериях конкурса.</w:t>
      </w:r>
      <w:r w:rsidDel="00000000" w:rsidR="00000000" w:rsidRPr="00000000">
        <w:rPr>
          <w:rtl w:val="0"/>
        </w:rPr>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Заявка должна соответствовать форме (Приложение №1 к настоящему Положению). Одновременно с заявкой на участие в конкурсе претендент представляет следующие документы:</w:t>
      </w:r>
      <w:r w:rsidDel="00000000" w:rsidR="00000000" w:rsidRPr="00000000">
        <w:rPr>
          <w:rtl w:val="0"/>
        </w:rPr>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копия лицензии на осуществление деятельности по доверительному управлению инвестиционными фондами, паевыми инвестиционными фондами и негосударственными пенсионными фондами;</w:t>
      </w:r>
      <w:r w:rsidDel="00000000" w:rsidR="00000000" w:rsidRPr="00000000">
        <w:rPr>
          <w:rtl w:val="0"/>
        </w:rPr>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копия устава;</w:t>
      </w:r>
      <w:r w:rsidDel="00000000" w:rsidR="00000000" w:rsidRPr="00000000">
        <w:rPr>
          <w:rtl w:val="0"/>
        </w:rPr>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копия свидетельства о государственной регистрации юридического лица;</w:t>
      </w:r>
      <w:r w:rsidDel="00000000" w:rsidR="00000000" w:rsidRPr="00000000">
        <w:rPr>
          <w:rtl w:val="0"/>
        </w:rPr>
      </w:r>
    </w:p>
    <w:p w:rsidR="00000000" w:rsidDel="00000000" w:rsidP="00000000" w:rsidRDefault="00000000" w:rsidRPr="00000000" w14:paraId="00000047">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копия свидетельства о внесении записи о юридическом лице в Единый государственный реестр юридических лиц - для юридических лиц, зарегистрированных до 2002 года;</w:t>
      </w:r>
      <w:r w:rsidDel="00000000" w:rsidR="00000000" w:rsidRPr="00000000">
        <w:rPr>
          <w:rtl w:val="0"/>
        </w:rPr>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выписка из Единого государственного реестра юридических лиц, выданная не позднее 30 (тридцати) дней до даты направления конкурсной заявки;</w:t>
      </w:r>
      <w:r w:rsidDel="00000000" w:rsidR="00000000" w:rsidRPr="00000000">
        <w:rPr>
          <w:rtl w:val="0"/>
        </w:rPr>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копия документа об избрании (назначении) лица, осуществляющего функции единоличного исполнительного органа;</w:t>
      </w:r>
      <w:r w:rsidDel="00000000" w:rsidR="00000000" w:rsidRPr="00000000">
        <w:rPr>
          <w:rtl w:val="0"/>
        </w:rPr>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копия бухгалтерского баланса и отчета о прибылях и убытках за последний год, предшествующий году подачи заявки;</w:t>
      </w:r>
      <w:r w:rsidDel="00000000" w:rsidR="00000000" w:rsidRPr="00000000">
        <w:rPr>
          <w:rtl w:val="0"/>
        </w:rPr>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сведения об аффилированных лицах претендента;</w:t>
      </w:r>
      <w:r w:rsidDel="00000000" w:rsidR="00000000" w:rsidRPr="00000000">
        <w:rPr>
          <w:rtl w:val="0"/>
        </w:rPr>
      </w:r>
    </w:p>
    <w:p w:rsidR="00000000" w:rsidDel="00000000" w:rsidP="00000000" w:rsidRDefault="00000000" w:rsidRPr="00000000" w14:paraId="0000004C">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справка об отсутствии просроченной задолженности перед бюджетами всех уровней по состоянию на последнюю отчетную дату;</w:t>
      </w:r>
      <w:r w:rsidDel="00000000" w:rsidR="00000000" w:rsidRPr="00000000">
        <w:rPr>
          <w:rtl w:val="0"/>
        </w:rPr>
      </w:r>
    </w:p>
    <w:p w:rsidR="00000000" w:rsidDel="00000000" w:rsidP="00000000" w:rsidRDefault="00000000" w:rsidRPr="00000000" w14:paraId="0000004D">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подтвержденный специализированным депозитарием расчет размера находящихся в доверительном управлении инвестиционных резервов акционерных инвестиционных фондов, активов паевых инвестиционных фондов, пенсионных резервов негосударственных пенсионных фондов, средств пенсионных накоплений за год, предшествующий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перечень включенных в расчет активов, учет которых осуществляется специализированным депозитарием, и сведения о стоимости чистых активов инвестиционных резервов акционерных инвестиционных фондов, активов паевых инвестиционных фондов и балансовой стоимости пенсионных резервов негосударственных пенсионных фондов;</w:t>
      </w:r>
      <w:r w:rsidDel="00000000" w:rsidR="00000000" w:rsidRPr="00000000">
        <w:rPr>
          <w:rtl w:val="0"/>
        </w:rPr>
      </w:r>
    </w:p>
    <w:p w:rsidR="00000000" w:rsidDel="00000000" w:rsidP="00000000" w:rsidRDefault="00000000" w:rsidRPr="00000000" w14:paraId="0000004E">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иные документы, подтверждающие соответствие участника требованиям, изложенным в п. 4.2. настоящего Положения;</w:t>
      </w:r>
      <w:r w:rsidDel="00000000" w:rsidR="00000000" w:rsidRPr="00000000">
        <w:rPr>
          <w:rtl w:val="0"/>
        </w:rPr>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конкурсное предложение, содержащее предлагаемый размер вознаграждения;</w:t>
      </w:r>
      <w:r w:rsidDel="00000000" w:rsidR="00000000" w:rsidRPr="00000000">
        <w:rPr>
          <w:rtl w:val="0"/>
        </w:rPr>
      </w:r>
    </w:p>
    <w:p w:rsidR="00000000" w:rsidDel="00000000" w:rsidP="00000000" w:rsidRDefault="00000000" w:rsidRPr="00000000" w14:paraId="00000050">
      <w:pPr>
        <w:numPr>
          <w:ilvl w:val="0"/>
          <w:numId w:val="7"/>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проект договора об оказании услуг.</w:t>
      </w:r>
      <w:r w:rsidDel="00000000" w:rsidR="00000000" w:rsidRPr="00000000">
        <w:rPr>
          <w:rtl w:val="0"/>
        </w:rPr>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Документы, предусмотренные подпунктом 5.2 настоящего Положения, представляются отдельно в запечатанном конверте.</w:t>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Заявка на участие в конкурсе оформляется на русском языке в двух экземплярах (оригинал и копия), каждый из которых удостоверяется подписью руководителя претендента. К заявке на участие в конкурсе прилагается удостоверенная подписью руководителя претендента опись представленных документов и материалов, оригинал которой остается в конкурсной комиссии, копия может быть передана претенденту по его требованию.</w:t>
      </w:r>
    </w:p>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По результатам рассмотрения представленных заявок на участие в конкурсе и прилагаемых к ним документов, Конкурсная комиссия принимает решение о допуске или об отказе в допуске к участию в конкурсе. Решение Конкурсной комиссии оформляется протоколом об определении участников конкурса.</w:t>
      </w:r>
    </w:p>
    <w:p w:rsidR="00000000" w:rsidDel="00000000" w:rsidP="00000000" w:rsidRDefault="00000000" w:rsidRPr="00000000" w14:paraId="00000054">
      <w:pPr>
        <w:numPr>
          <w:ilvl w:val="0"/>
          <w:numId w:val="8"/>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Решение о допуске заявителя к участию в конкурсе и о признании его участником конкурса принимается, если заявитель и представленные им заявка и документы соответствуют требованиям, указанным в извещении о проведении конкурса.</w:t>
      </w:r>
    </w:p>
    <w:p w:rsidR="00000000" w:rsidDel="00000000" w:rsidP="00000000" w:rsidRDefault="00000000" w:rsidRPr="00000000" w14:paraId="00000055">
      <w:pPr>
        <w:numPr>
          <w:ilvl w:val="0"/>
          <w:numId w:val="8"/>
        </w:numPr>
        <w:pBdr>
          <w:top w:space="0" w:sz="0" w:val="nil"/>
          <w:left w:space="0" w:sz="0" w:val="nil"/>
          <w:bottom w:space="0" w:sz="0" w:val="nil"/>
          <w:right w:space="0" w:sz="0" w:val="nil"/>
          <w:between w:space="0" w:sz="0" w:val="nil"/>
        </w:pBdr>
        <w:tabs>
          <w:tab w:val="left" w:leader="none" w:pos="426"/>
          <w:tab w:val="left" w:leader="none" w:pos="1418"/>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Конкурсная комиссия вправе потребовать от претендента разъяснения положений представленных им документов и материалов, подтверждающих его соответствие указанным требованиям</w:t>
      </w:r>
    </w:p>
    <w:p w:rsidR="00000000" w:rsidDel="00000000" w:rsidP="00000000" w:rsidRDefault="00000000" w:rsidRPr="00000000" w14:paraId="00000056">
      <w:pPr>
        <w:tabs>
          <w:tab w:val="left" w:leader="none" w:pos="426"/>
          <w:tab w:val="left" w:leader="none" w:pos="1418"/>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720" w:hanging="360"/>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Порядок проведения конкурса и определения победителя</w:t>
      </w:r>
      <w:r w:rsidDel="00000000" w:rsidR="00000000" w:rsidRPr="00000000">
        <w:rPr>
          <w:rtl w:val="0"/>
        </w:rPr>
      </w:r>
    </w:p>
    <w:p w:rsidR="00000000" w:rsidDel="00000000" w:rsidP="00000000" w:rsidRDefault="00000000" w:rsidRPr="00000000" w14:paraId="00000058">
      <w:pPr>
        <w:tabs>
          <w:tab w:val="left" w:leader="none" w:pos="42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Заявки рассматриваются на заседании Конкурсной комиссии. Рассмотрению подлежат все заявки на участие в конкурсе и документы, прилагаемые к ним, представленные в Конкурсную комиссию в установленные сроки приема заявок </w:t>
      </w:r>
      <w:r w:rsidDel="00000000" w:rsidR="00000000" w:rsidRPr="00000000">
        <w:rPr>
          <w:rtl w:val="0"/>
        </w:rPr>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По результатам рассмотрения заявки, документов и материалов, прилагаемых к ней, Конкурсная комиссия определяет соответствие претендента требованиям к участникам конкурса, принимает решение о допуске претендента к участию в конкурсе или об отказе в допуске претендента к участию в конкурсе и оформляет это решение протоколом определения лиц, допущенных к участию в конкурсе.</w:t>
      </w:r>
      <w:r w:rsidDel="00000000" w:rsidR="00000000" w:rsidRPr="00000000">
        <w:rPr>
          <w:rtl w:val="0"/>
        </w:rPr>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Итоги проведения конкурса оформляются протоколом о результатах проведения конкурса, в котором указываются следующие сведения:</w:t>
      </w:r>
      <w:r w:rsidDel="00000000" w:rsidR="00000000" w:rsidRPr="00000000">
        <w:rPr>
          <w:rtl w:val="0"/>
        </w:rPr>
      </w:r>
    </w:p>
    <w:p w:rsidR="00000000" w:rsidDel="00000000" w:rsidP="00000000" w:rsidRDefault="00000000" w:rsidRPr="00000000" w14:paraId="0000005C">
      <w:pPr>
        <w:numPr>
          <w:ilvl w:val="0"/>
          <w:numId w:val="11"/>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критерий конкурса;</w:t>
      </w:r>
    </w:p>
    <w:p w:rsidR="00000000" w:rsidDel="00000000" w:rsidP="00000000" w:rsidRDefault="00000000" w:rsidRPr="00000000" w14:paraId="0000005D">
      <w:pPr>
        <w:numPr>
          <w:ilvl w:val="0"/>
          <w:numId w:val="11"/>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конкурсные предложения, представленные каждым участником конкурса;</w:t>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результаты рассмотрения конкурсных предложений, представленных участниками;</w:t>
      </w:r>
    </w:p>
    <w:p w:rsidR="00000000" w:rsidDel="00000000" w:rsidP="00000000" w:rsidRDefault="00000000" w:rsidRPr="00000000" w14:paraId="0000005F">
      <w:pPr>
        <w:numPr>
          <w:ilvl w:val="0"/>
          <w:numId w:val="11"/>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наименование и место нахождения участника конкурса, предложившего наименьший размер вознаграждения управляющей компании по сравнению с конкурсными предложениями других участников конкурса за исключением конкурсного предложения победителя конкурса;</w:t>
      </w:r>
    </w:p>
    <w:p w:rsidR="00000000" w:rsidDel="00000000" w:rsidP="00000000" w:rsidRDefault="00000000" w:rsidRPr="00000000" w14:paraId="00000060">
      <w:pPr>
        <w:numPr>
          <w:ilvl w:val="0"/>
          <w:numId w:val="11"/>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наименование и место нахождения победителя конкурса;</w:t>
      </w:r>
    </w:p>
    <w:p w:rsidR="00000000" w:rsidDel="00000000" w:rsidP="00000000" w:rsidRDefault="00000000" w:rsidRPr="00000000" w14:paraId="00000061">
      <w:pPr>
        <w:numPr>
          <w:ilvl w:val="0"/>
          <w:numId w:val="11"/>
        </w:numPr>
        <w:pBdr>
          <w:top w:space="0" w:sz="0" w:val="nil"/>
          <w:left w:space="0" w:sz="0" w:val="nil"/>
          <w:bottom w:space="0" w:sz="0" w:val="nil"/>
          <w:right w:space="0" w:sz="0" w:val="nil"/>
          <w:between w:space="0" w:sz="0" w:val="nil"/>
        </w:pBdr>
        <w:tabs>
          <w:tab w:val="left" w:leader="none" w:pos="426"/>
          <w:tab w:val="left" w:leader="none" w:pos="1134"/>
        </w:tabs>
        <w:spacing w:after="0" w:line="240" w:lineRule="auto"/>
        <w:ind w:left="0" w:firstLine="709"/>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обоснование принятого конкурсной комиссией решения о признании участника конкурса победителем.</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bookmarkStart w:colFirst="0" w:colLast="0" w:name="_heading=h.jt1ogfpov64o" w:id="0"/>
      <w:bookmarkEnd w:id="0"/>
      <w:r w:rsidDel="00000000" w:rsidR="00000000" w:rsidRPr="00000000">
        <w:rPr>
          <w:rFonts w:ascii="Times New Roman" w:cs="Times New Roman" w:eastAsia="Times New Roman" w:hAnsi="Times New Roman"/>
          <w:color w:val="000000"/>
          <w:sz w:val="23"/>
          <w:szCs w:val="23"/>
          <w:rtl w:val="0"/>
        </w:rPr>
        <w:t xml:space="preserve">В случае представления для участия в конкурсе менее двух заявок и (или) допуска к участию в конкурсе менее двух участников Конкурсная комиссия вправе принять решение о заключении договора доверительного управления средствами компенсационного фонда Союза с единственным участником конкурса. </w:t>
      </w:r>
      <w:r w:rsidDel="00000000" w:rsidR="00000000" w:rsidRPr="00000000">
        <w:rPr>
          <w:rtl w:val="0"/>
        </w:rPr>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 течение 15 (пятнадцати) календарных дней со дня опубликования результатов конкурса на сайте Союза, управляющая компания, признанная победителем в конкурсе, должна заключить договор об оказании услуг управляющей компании компенсационным фондом Союза по форме проекта договора, представленного к конкурсному предложению. При этом стороны вправе согласовать и внести дополнения и/или изменения в первоначальный проект договора.</w:t>
      </w:r>
      <w:r w:rsidDel="00000000" w:rsidR="00000000" w:rsidRPr="00000000">
        <w:rPr>
          <w:rtl w:val="0"/>
        </w:rPr>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В случае, если в указанный срок договор не будет заключен, или победитель конкурса откажется от его заключения, а также если после объявления победителя конкурса выявятся факты несоответствия победителя конкурса установленным требованиям, Организатор конкурса вправе:</w:t>
      </w:r>
      <w:r w:rsidDel="00000000" w:rsidR="00000000" w:rsidRPr="00000000">
        <w:rPr>
          <w:rtl w:val="0"/>
        </w:rPr>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предложить заключить договор участнику конкурса, конкурсное предложение которого по результатам сравнения конкурсных предложений содержит лучшие условия, следующие после условий, предложенных победителем конкурса;</w:t>
      </w:r>
      <w:r w:rsidDel="00000000" w:rsidR="00000000" w:rsidRPr="00000000">
        <w:rPr>
          <w:rtl w:val="0"/>
        </w:rPr>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tabs>
          <w:tab w:val="left" w:leader="none" w:pos="426"/>
        </w:tabs>
        <w:spacing w:after="0" w:line="240" w:lineRule="auto"/>
        <w:ind w:left="0" w:firstLine="709"/>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объявить конкурс несостоявшимся.</w:t>
      </w:r>
      <w:r w:rsidDel="00000000" w:rsidR="00000000" w:rsidRPr="00000000">
        <w:rPr>
          <w:rtl w:val="0"/>
        </w:rPr>
      </w:r>
    </w:p>
    <w:p w:rsidR="00000000" w:rsidDel="00000000" w:rsidP="00000000" w:rsidRDefault="00000000" w:rsidRPr="00000000" w14:paraId="00000067">
      <w:pPr>
        <w:tabs>
          <w:tab w:val="left" w:leader="none" w:pos="426"/>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firstLine="0"/>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Заключительные положения</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426"/>
        </w:tabs>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Настоящее Положение вступает в силу с момента утверждения Советом Союза.</w:t>
      </w:r>
      <w:r w:rsidDel="00000000" w:rsidR="00000000" w:rsidRPr="00000000">
        <w:rPr>
          <w:rtl w:val="0"/>
        </w:rPr>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3"/>
          <w:szCs w:val="23"/>
        </w:rPr>
        <w:sectPr>
          <w:footerReference r:id="rId7" w:type="default"/>
          <w:footerReference r:id="rId8" w:type="first"/>
          <w:pgSz w:h="16838" w:w="11906" w:orient="portrait"/>
          <w:pgMar w:bottom="1134" w:top="851" w:left="1276" w:right="850" w:header="708" w:footer="708"/>
          <w:pgNumType w:start="1"/>
          <w:titlePg w:val="1"/>
        </w:sectPr>
      </w:pPr>
      <w:r w:rsidDel="00000000" w:rsidR="00000000" w:rsidRPr="00000000">
        <w:rPr>
          <w:rFonts w:ascii="Times New Roman" w:cs="Times New Roman" w:eastAsia="Times New Roman" w:hAnsi="Times New Roman"/>
          <w:color w:val="000000"/>
          <w:sz w:val="23"/>
          <w:szCs w:val="23"/>
          <w:rtl w:val="0"/>
        </w:rPr>
        <w:t xml:space="preserve">Изменения и дополнения к настоящему Положению вступают в силу после их утверждения Советом Союза.</w:t>
      </w:r>
      <w:r w:rsidDel="00000000" w:rsidR="00000000" w:rsidRPr="00000000">
        <w:rPr>
          <w:rtl w:val="0"/>
        </w:rPr>
      </w:r>
    </w:p>
    <w:p w:rsidR="00000000" w:rsidDel="00000000" w:rsidP="00000000" w:rsidRDefault="00000000" w:rsidRPr="00000000" w14:paraId="0000006C">
      <w:pPr>
        <w:spacing w:after="0" w:line="240" w:lineRule="auto"/>
        <w:ind w:left="4962" w:firstLine="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ПРИЛОЖЕНИЕ №1</w:t>
      </w:r>
    </w:p>
    <w:p w:rsidR="00000000" w:rsidDel="00000000" w:rsidP="00000000" w:rsidRDefault="00000000" w:rsidRPr="00000000" w14:paraId="0000006D">
      <w:pPr>
        <w:spacing w:after="0" w:line="240" w:lineRule="auto"/>
        <w:ind w:left="4962" w:firstLine="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к Положению о проведении конкурса по отбору управляющей компании для заключения договора доверительного управления средствами компенсационного фонда Союза арбитражных управляющих «ПроРешения»</w:t>
      </w:r>
    </w:p>
    <w:p w:rsidR="00000000" w:rsidDel="00000000" w:rsidP="00000000" w:rsidRDefault="00000000" w:rsidRPr="00000000" w14:paraId="0000006E">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F">
      <w:pPr>
        <w:spacing w:after="0" w:line="240" w:lineRule="auto"/>
        <w:ind w:left="4962" w:right="-143"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В Конкурсную комиссию</w:t>
      </w:r>
    </w:p>
    <w:p w:rsidR="00000000" w:rsidDel="00000000" w:rsidP="00000000" w:rsidRDefault="00000000" w:rsidRPr="00000000" w14:paraId="00000070">
      <w:pPr>
        <w:spacing w:after="0" w:line="240" w:lineRule="auto"/>
        <w:ind w:left="4962" w:right="-143"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Организатора конкурса СРО САУ «ПроРешения»</w:t>
      </w:r>
    </w:p>
    <w:p w:rsidR="00000000" w:rsidDel="00000000" w:rsidP="00000000" w:rsidRDefault="00000000" w:rsidRPr="00000000" w14:paraId="00000071">
      <w:pPr>
        <w:spacing w:after="0" w:line="240" w:lineRule="auto"/>
        <w:ind w:left="4962" w:right="-143"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ИНН 0274390698, ОГРН 1240200036449</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Конкурсная заявка</w:t>
      </w:r>
    </w:p>
    <w:p w:rsidR="00000000" w:rsidDel="00000000" w:rsidP="00000000" w:rsidRDefault="00000000" w:rsidRPr="00000000" w14:paraId="00000075">
      <w:pPr>
        <w:spacing w:after="0" w:line="24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на участие в конкурсе по отбору управляющей компании для заключения договора доверительного управления средствами компенсационного фонда Союза </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Изучив Положение о проведении конкурса по отбору управляющей компании для заключения договора доверительного управления средствами компенсационного фонда Союза арбитражных управляющих «ПроРешения», а также применимые к данному конкурсу законодательство и нормативные документы,</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3"/>
          <w:szCs w:val="23"/>
        </w:rPr>
      </w:pPr>
      <w:r w:rsidDel="00000000" w:rsidR="00000000" w:rsidRPr="00000000">
        <w:rPr>
          <w:rtl w:val="0"/>
        </w:rPr>
      </w:r>
    </w:p>
    <w:tbl>
      <w:tblPr>
        <w:tblStyle w:val="Table1"/>
        <w:tblW w:w="9770.0" w:type="dxa"/>
        <w:jc w:val="left"/>
        <w:tblInd w:w="-1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957"/>
        <w:gridCol w:w="4813"/>
        <w:tblGridChange w:id="0">
          <w:tblGrid>
            <w:gridCol w:w="4957"/>
            <w:gridCol w:w="4813"/>
          </w:tblGrid>
        </w:tblGridChange>
      </w:tblGrid>
      <w:tr>
        <w:trPr>
          <w:cantSplit w:val="0"/>
          <w:tblHeader w:val="0"/>
        </w:trPr>
        <w:tc>
          <w:tcPr/>
          <w:p w:rsidR="00000000" w:rsidDel="00000000" w:rsidP="00000000" w:rsidRDefault="00000000" w:rsidRPr="00000000" w14:paraId="00000079">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Наименование претендента</w:t>
            </w:r>
          </w:p>
        </w:tc>
        <w:tc>
          <w:tcPr/>
          <w:p w:rsidR="00000000" w:rsidDel="00000000" w:rsidP="00000000" w:rsidRDefault="00000000" w:rsidRPr="00000000" w14:paraId="0000007A">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7B">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ИНН, ОГРН</w:t>
            </w:r>
          </w:p>
        </w:tc>
        <w:tc>
          <w:tcPr/>
          <w:p w:rsidR="00000000" w:rsidDel="00000000" w:rsidP="00000000" w:rsidRDefault="00000000" w:rsidRPr="00000000" w14:paraId="0000007C">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7D">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Юридический адрес</w:t>
            </w:r>
          </w:p>
        </w:tc>
        <w:tc>
          <w:tcPr/>
          <w:p w:rsidR="00000000" w:rsidDel="00000000" w:rsidP="00000000" w:rsidRDefault="00000000" w:rsidRPr="00000000" w14:paraId="0000007E">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7F">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Адрес для направления корреспонденции</w:t>
            </w:r>
          </w:p>
        </w:tc>
        <w:tc>
          <w:tcPr/>
          <w:p w:rsidR="00000000" w:rsidDel="00000000" w:rsidP="00000000" w:rsidRDefault="00000000" w:rsidRPr="00000000" w14:paraId="00000080">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1">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Контактный номер телефона</w:t>
            </w:r>
          </w:p>
        </w:tc>
        <w:tc>
          <w:tcPr/>
          <w:p w:rsidR="00000000" w:rsidDel="00000000" w:rsidP="00000000" w:rsidRDefault="00000000" w:rsidRPr="00000000" w14:paraId="00000082">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3">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Адрес электронной почты</w:t>
            </w:r>
          </w:p>
        </w:tc>
        <w:tc>
          <w:tcPr/>
          <w:p w:rsidR="00000000" w:rsidDel="00000000" w:rsidP="00000000" w:rsidRDefault="00000000" w:rsidRPr="00000000" w14:paraId="00000084">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5">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Лицензия на осуществление деятельности</w:t>
            </w:r>
          </w:p>
        </w:tc>
        <w:tc>
          <w:tcPr/>
          <w:p w:rsidR="00000000" w:rsidDel="00000000" w:rsidP="00000000" w:rsidRDefault="00000000" w:rsidRPr="00000000" w14:paraId="00000086">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7">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Банковские реквизиты</w:t>
            </w:r>
          </w:p>
        </w:tc>
        <w:tc>
          <w:tcPr/>
          <w:p w:rsidR="00000000" w:rsidDel="00000000" w:rsidP="00000000" w:rsidRDefault="00000000" w:rsidRPr="00000000" w14:paraId="00000088">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9">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Лицензия на осуществление деятельности по доверительному управлению инвестиционными фондами, паевыми инвестиционными фондами и негосударственными пенсионными фондами</w:t>
            </w:r>
          </w:p>
        </w:tc>
        <w:tc>
          <w:tcPr/>
          <w:p w:rsidR="00000000" w:rsidDel="00000000" w:rsidP="00000000" w:rsidRDefault="00000000" w:rsidRPr="00000000" w14:paraId="0000008A">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B">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Продолжительность деятельности в качестве управляющей компании инвестиционными фондами, паевыми инвестиционными фондами и негосударственными пенсионными фондами на дату подачи настоящей конкурсной заявки</w:t>
            </w:r>
          </w:p>
        </w:tc>
        <w:tc>
          <w:tcPr/>
          <w:p w:rsidR="00000000" w:rsidDel="00000000" w:rsidP="00000000" w:rsidRDefault="00000000" w:rsidRPr="00000000" w14:paraId="0000008C">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D">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Количество договоров об оказании услуг управляющей компании на дату подачи настоящей конкурсной заявки</w:t>
            </w:r>
          </w:p>
        </w:tc>
        <w:tc>
          <w:tcPr/>
          <w:p w:rsidR="00000000" w:rsidDel="00000000" w:rsidP="00000000" w:rsidRDefault="00000000" w:rsidRPr="00000000" w14:paraId="0000008E">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8F">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Размер управляемых средств ипотечного покрытия, акционерных инвестиционных фондов, паевых инвестиционных фондов, государственных корпораций, саморегулируемых организаций, пенсионных резервов негосударственных пенсионных фондов и средств пенсионных накоплений негосударственных пенсионных фондов</w:t>
            </w:r>
          </w:p>
        </w:tc>
        <w:tc>
          <w:tcPr/>
          <w:p w:rsidR="00000000" w:rsidDel="00000000" w:rsidP="00000000" w:rsidRDefault="00000000" w:rsidRPr="00000000" w14:paraId="00000090">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91">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Рейтинг надежности (кредитоспособности), присвоенный национальными или международными рейтинговыми агентствами, аккредитованными Центральным Банком России (при наличии)</w:t>
            </w:r>
          </w:p>
        </w:tc>
        <w:tc>
          <w:tcPr/>
          <w:p w:rsidR="00000000" w:rsidDel="00000000" w:rsidP="00000000" w:rsidRDefault="00000000" w:rsidRPr="00000000" w14:paraId="00000092">
            <w:pPr>
              <w:jc w:val="both"/>
              <w:rPr>
                <w:rFonts w:ascii="Times New Roman" w:cs="Times New Roman" w:eastAsia="Times New Roman" w:hAnsi="Times New Roman"/>
                <w:sz w:val="23"/>
                <w:szCs w:val="23"/>
              </w:rPr>
            </w:pPr>
            <w:r w:rsidDel="00000000" w:rsidR="00000000" w:rsidRPr="00000000">
              <w:rPr>
                <w:rtl w:val="0"/>
              </w:rPr>
            </w:r>
          </w:p>
        </w:tc>
      </w:tr>
    </w:tbl>
    <w:p w:rsidR="00000000" w:rsidDel="00000000" w:rsidP="00000000" w:rsidRDefault="00000000" w:rsidRPr="00000000" w14:paraId="00000093">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(далее – претендент) сообщает о своем намерении участвовать в конкурсном отборе на условиях, установленных Организатором конкурса. </w:t>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Претендент гарантирует достоверность представленной в настоящей конкурсной заявке информации и подтверждает право Организатора конкурса запрашивать разъяснения положений представленных документов и материалов, подтверждающих соответствие претендента требованиям, установленными внутренними документами Союза и действующим законодательством.</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В случае признания претендента по результатам проведения конкурсного отбора, претендент обязуется заключить с Союзом договор об оказании услуг по доверительному управлению средствами компенсационного фонда Союза.</w:t>
      </w:r>
      <w:r w:rsidDel="00000000" w:rsidR="00000000" w:rsidRPr="00000000">
        <w:rPr>
          <w:rtl w:val="0"/>
        </w:rPr>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К настоящей конкурсной заявке прилагаются документы согласно описи, а также внутренний запечатанный конверт с конкурсным предложением.</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after="0" w:line="240" w:lineRule="auto"/>
        <w:ind w:left="720" w:right="141" w:hanging="360"/>
        <w:jc w:val="both"/>
        <w:rPr>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Сообщаем также дополнительную информацию (при наличии): _______________________</w:t>
      </w:r>
      <w:r w:rsidDel="00000000" w:rsidR="00000000" w:rsidRPr="00000000">
        <w:rPr>
          <w:rtl w:val="0"/>
        </w:rPr>
      </w:r>
    </w:p>
    <w:p w:rsidR="00000000" w:rsidDel="00000000" w:rsidP="00000000" w:rsidRDefault="00000000" w:rsidRPr="00000000" w14:paraId="0000009D">
      <w:pPr>
        <w:spacing w:before="80" w:lineRule="auto"/>
        <w:ind w:firstLine="709"/>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9E">
      <w:pPr>
        <w:spacing w:before="80" w:lineRule="auto"/>
        <w:ind w:firstLine="709"/>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9F">
      <w:pPr>
        <w:spacing w:after="0" w:before="8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0">
      <w:pPr>
        <w:spacing w:after="0" w:before="8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1">
      <w:pPr>
        <w:spacing w:after="0" w:before="80" w:line="240" w:lineRule="auto"/>
        <w:jc w:val="both"/>
        <w:rPr>
          <w:rFonts w:ascii="Times New Roman" w:cs="Times New Roman" w:eastAsia="Times New Roman" w:hAnsi="Times New Roman"/>
          <w:sz w:val="23"/>
          <w:szCs w:val="23"/>
        </w:rPr>
      </w:pPr>
      <w:r w:rsidDel="00000000" w:rsidR="00000000" w:rsidRPr="00000000">
        <w:rPr>
          <w:rtl w:val="0"/>
        </w:rPr>
      </w:r>
    </w:p>
    <w:tbl>
      <w:tblPr>
        <w:tblStyle w:val="Table2"/>
        <w:tblW w:w="977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89"/>
        <w:gridCol w:w="4581"/>
        <w:tblGridChange w:id="0">
          <w:tblGrid>
            <w:gridCol w:w="5189"/>
            <w:gridCol w:w="4581"/>
          </w:tblGrid>
        </w:tblGridChange>
      </w:tblGrid>
      <w:tr>
        <w:trPr>
          <w:cantSplit w:val="0"/>
          <w:tblHeader w:val="0"/>
        </w:trPr>
        <w:tc>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3"/>
                <w:szCs w:val="23"/>
              </w:rPr>
            </w:pPr>
            <w:r w:rsidDel="00000000" w:rsidR="00000000" w:rsidRPr="00000000">
              <w:rPr>
                <w:rtl w:val="0"/>
              </w:rPr>
            </w:r>
          </w:p>
          <w:tbl>
            <w:tblPr>
              <w:tblStyle w:val="Table3"/>
              <w:tblW w:w="497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16"/>
              <w:gridCol w:w="2457"/>
              <w:tblGridChange w:id="0">
                <w:tblGrid>
                  <w:gridCol w:w="2516"/>
                  <w:gridCol w:w="2457"/>
                </w:tblGrid>
              </w:tblGridChange>
            </w:tblGrid>
            <w:tr>
              <w:trPr>
                <w:cantSplit w:val="0"/>
                <w:tblHeader w:val="0"/>
              </w:trPr>
              <w:tc>
                <w:tcPr/>
                <w:p w:rsidR="00000000" w:rsidDel="00000000" w:rsidP="00000000" w:rsidRDefault="00000000" w:rsidRPr="00000000" w14:paraId="000000A3">
                  <w:pPr>
                    <w:spacing w:before="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____________________</w:t>
                  </w:r>
                </w:p>
              </w:tc>
              <w:tc>
                <w:tcPr/>
                <w:p w:rsidR="00000000" w:rsidDel="00000000" w:rsidP="00000000" w:rsidRDefault="00000000" w:rsidRPr="00000000" w14:paraId="000000A4">
                  <w:pPr>
                    <w:spacing w:before="80" w:lineRule="auto"/>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A5">
                  <w:pPr>
                    <w:spacing w:before="8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(должность)</w:t>
                  </w:r>
                </w:p>
              </w:tc>
              <w:tc>
                <w:tcPr/>
                <w:p w:rsidR="00000000" w:rsidDel="00000000" w:rsidP="00000000" w:rsidRDefault="00000000" w:rsidRPr="00000000" w14:paraId="000000A6">
                  <w:pPr>
                    <w:spacing w:before="80" w:lineRule="auto"/>
                    <w:jc w:val="both"/>
                    <w:rPr>
                      <w:rFonts w:ascii="Times New Roman" w:cs="Times New Roman" w:eastAsia="Times New Roman" w:hAnsi="Times New Roman"/>
                      <w:sz w:val="23"/>
                      <w:szCs w:val="23"/>
                    </w:rPr>
                  </w:pPr>
                  <w:r w:rsidDel="00000000" w:rsidR="00000000" w:rsidRPr="00000000">
                    <w:rPr>
                      <w:rtl w:val="0"/>
                    </w:rPr>
                  </w:r>
                </w:p>
              </w:tc>
            </w:tr>
          </w:tbl>
          <w:p w:rsidR="00000000" w:rsidDel="00000000" w:rsidP="00000000" w:rsidRDefault="00000000" w:rsidRPr="00000000" w14:paraId="000000A7">
            <w:pPr>
              <w:spacing w:before="80" w:lineRule="auto"/>
              <w:jc w:val="both"/>
              <w:rPr>
                <w:rFonts w:ascii="Times New Roman" w:cs="Times New Roman" w:eastAsia="Times New Roman" w:hAnsi="Times New Roman"/>
                <w:sz w:val="23"/>
                <w:szCs w:val="23"/>
              </w:rPr>
            </w:pPr>
            <w:r w:rsidDel="00000000" w:rsidR="00000000" w:rsidRPr="00000000">
              <w:rPr>
                <w:rtl w:val="0"/>
              </w:rPr>
            </w:r>
          </w:p>
        </w:tc>
        <w:tc>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3"/>
                <w:szCs w:val="23"/>
              </w:rPr>
            </w:pPr>
            <w:r w:rsidDel="00000000" w:rsidR="00000000" w:rsidRPr="00000000">
              <w:rPr>
                <w:rtl w:val="0"/>
              </w:rPr>
            </w:r>
          </w:p>
          <w:tbl>
            <w:tblPr>
              <w:tblStyle w:val="Table4"/>
              <w:tblW w:w="3486.0" w:type="dxa"/>
              <w:jc w:val="left"/>
              <w:tblInd w:w="87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11"/>
              <w:gridCol w:w="1775"/>
              <w:tblGridChange w:id="0">
                <w:tblGrid>
                  <w:gridCol w:w="1711"/>
                  <w:gridCol w:w="1775"/>
                </w:tblGrid>
              </w:tblGridChange>
            </w:tblGrid>
            <w:tr>
              <w:trPr>
                <w:cantSplit w:val="0"/>
                <w:tblHeader w:val="0"/>
              </w:trPr>
              <w:tc>
                <w:tcPr/>
                <w:p w:rsidR="00000000" w:rsidDel="00000000" w:rsidP="00000000" w:rsidRDefault="00000000" w:rsidRPr="00000000" w14:paraId="000000A9">
                  <w:pPr>
                    <w:spacing w:before="80" w:lineRule="auto"/>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w:t>
                  </w:r>
                </w:p>
              </w:tc>
              <w:tc>
                <w:tcPr/>
                <w:p w:rsidR="00000000" w:rsidDel="00000000" w:rsidP="00000000" w:rsidRDefault="00000000" w:rsidRPr="00000000" w14:paraId="000000AA">
                  <w:pPr>
                    <w:spacing w:before="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w:t>
                  </w:r>
                </w:p>
              </w:tc>
            </w:tr>
            <w:tr>
              <w:trPr>
                <w:cantSplit w:val="0"/>
                <w:tblHeader w:val="0"/>
              </w:trPr>
              <w:tc>
                <w:tcPr/>
                <w:p w:rsidR="00000000" w:rsidDel="00000000" w:rsidP="00000000" w:rsidRDefault="00000000" w:rsidRPr="00000000" w14:paraId="000000AB">
                  <w:pPr>
                    <w:spacing w:before="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подпись</w:t>
                  </w:r>
                </w:p>
              </w:tc>
              <w:tc>
                <w:tcPr/>
                <w:p w:rsidR="00000000" w:rsidDel="00000000" w:rsidP="00000000" w:rsidRDefault="00000000" w:rsidRPr="00000000" w14:paraId="000000AC">
                  <w:pPr>
                    <w:spacing w:before="8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Фамилия И.О.</w:t>
                  </w:r>
                </w:p>
              </w:tc>
            </w:tr>
          </w:tbl>
          <w:p w:rsidR="00000000" w:rsidDel="00000000" w:rsidP="00000000" w:rsidRDefault="00000000" w:rsidRPr="00000000" w14:paraId="000000AD">
            <w:pPr>
              <w:spacing w:before="80" w:lineRule="auto"/>
              <w:jc w:val="right"/>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AE">
            <w:pPr>
              <w:spacing w:before="80" w:lineRule="auto"/>
              <w:jc w:val="both"/>
              <w:rPr>
                <w:rFonts w:ascii="Times New Roman" w:cs="Times New Roman" w:eastAsia="Times New Roman" w:hAnsi="Times New Roman"/>
                <w:sz w:val="23"/>
                <w:szCs w:val="23"/>
              </w:rPr>
            </w:pPr>
            <w:r w:rsidDel="00000000" w:rsidR="00000000" w:rsidRPr="00000000">
              <w:rPr>
                <w:rtl w:val="0"/>
              </w:rPr>
            </w:r>
          </w:p>
        </w:tc>
        <w:tc>
          <w:tcPr/>
          <w:p w:rsidR="00000000" w:rsidDel="00000000" w:rsidP="00000000" w:rsidRDefault="00000000" w:rsidRPr="00000000" w14:paraId="000000AF">
            <w:pPr>
              <w:spacing w:before="80" w:lineRule="auto"/>
              <w:jc w:val="both"/>
              <w:rPr>
                <w:rFonts w:ascii="Times New Roman" w:cs="Times New Roman" w:eastAsia="Times New Roman" w:hAnsi="Times New Roman"/>
                <w:sz w:val="23"/>
                <w:szCs w:val="23"/>
              </w:rPr>
            </w:pPr>
            <w:r w:rsidDel="00000000" w:rsidR="00000000" w:rsidRPr="00000000">
              <w:rPr>
                <w:rtl w:val="0"/>
              </w:rPr>
            </w:r>
          </w:p>
        </w:tc>
      </w:tr>
    </w:tbl>
    <w:p w:rsidR="00000000" w:rsidDel="00000000" w:rsidP="00000000" w:rsidRDefault="00000000" w:rsidRPr="00000000" w14:paraId="000000B0">
      <w:pPr>
        <w:spacing w:after="0" w:before="80" w:line="240" w:lineRule="auto"/>
        <w:jc w:val="both"/>
        <w:rPr>
          <w:rFonts w:ascii="Times New Roman" w:cs="Times New Roman" w:eastAsia="Times New Roman" w:hAnsi="Times New Roman"/>
          <w:sz w:val="23"/>
          <w:szCs w:val="23"/>
        </w:rPr>
      </w:pPr>
      <w:r w:rsidDel="00000000" w:rsidR="00000000" w:rsidRPr="00000000">
        <w:rPr>
          <w:rtl w:val="0"/>
        </w:rPr>
      </w:r>
    </w:p>
    <w:sectPr>
      <w:type w:val="nextPage"/>
      <w:pgSz w:h="16838" w:w="11906" w:orient="portrait"/>
      <w:pgMar w:bottom="709" w:top="851" w:left="1276" w:right="850"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decimal"/>
      <w:lvlText w:val="%1.%2."/>
      <w:lvlJc w:val="left"/>
      <w:pPr>
        <w:ind w:left="2629" w:hanging="360"/>
      </w:pPr>
      <w:rPr>
        <w:b w:val="0"/>
        <w:bCs w:val="0"/>
        <w:color w:val="000000"/>
      </w:rPr>
    </w:lvl>
    <w:lvl w:ilvl="2">
      <w:start w:val="1"/>
      <w:numFmt w:val="decimal"/>
      <w:lvlText w:val="%1.%2.%3."/>
      <w:lvlJc w:val="left"/>
      <w:pPr>
        <w:ind w:left="1778" w:hanging="720"/>
      </w:pPr>
      <w:rPr/>
    </w:lvl>
    <w:lvl w:ilvl="3">
      <w:start w:val="1"/>
      <w:numFmt w:val="decimal"/>
      <w:lvlText w:val="%1.%2.%3.%4."/>
      <w:lvlJc w:val="left"/>
      <w:pPr>
        <w:ind w:left="2127" w:hanging="720"/>
      </w:pPr>
      <w:rPr/>
    </w:lvl>
    <w:lvl w:ilvl="4">
      <w:start w:val="1"/>
      <w:numFmt w:val="decimal"/>
      <w:lvlText w:val="%1.%2.%3.%4.%5."/>
      <w:lvlJc w:val="left"/>
      <w:pPr>
        <w:ind w:left="2836" w:hanging="1078.9999999999998"/>
      </w:pPr>
      <w:rPr/>
    </w:lvl>
    <w:lvl w:ilvl="5">
      <w:start w:val="1"/>
      <w:numFmt w:val="decimal"/>
      <w:lvlText w:val="%1.%2.%3.%4.%5.%6."/>
      <w:lvlJc w:val="left"/>
      <w:pPr>
        <w:ind w:left="3185" w:hanging="1080"/>
      </w:pPr>
      <w:rPr/>
    </w:lvl>
    <w:lvl w:ilvl="6">
      <w:start w:val="1"/>
      <w:numFmt w:val="decimal"/>
      <w:lvlText w:val="%1.%2.%3.%4.%5.%6.%7."/>
      <w:lvlJc w:val="left"/>
      <w:pPr>
        <w:ind w:left="3894" w:hanging="1440"/>
      </w:pPr>
      <w:rPr/>
    </w:lvl>
    <w:lvl w:ilvl="7">
      <w:start w:val="1"/>
      <w:numFmt w:val="decimal"/>
      <w:lvlText w:val="%1.%2.%3.%4.%5.%6.%7.%8."/>
      <w:lvlJc w:val="left"/>
      <w:pPr>
        <w:ind w:left="4243" w:hanging="1440"/>
      </w:pPr>
      <w:rPr/>
    </w:lvl>
    <w:lvl w:ilvl="8">
      <w:start w:val="1"/>
      <w:numFmt w:val="decimal"/>
      <w:lvlText w:val="%1.%2.%3.%4.%5.%6.%7.%8.%9."/>
      <w:lvlJc w:val="left"/>
      <w:pPr>
        <w:ind w:left="4952" w:hanging="180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3.%1."/>
      <w:lvlJc w:val="left"/>
      <w:pPr>
        <w:ind w:left="5606" w:hanging="360"/>
      </w:pPr>
      <w:rPr>
        <w:b w:val="0"/>
        <w:bCs w:val="0"/>
      </w:rPr>
    </w:lvl>
    <w:lvl w:ilvl="1">
      <w:start w:val="1"/>
      <w:numFmt w:val="lowerLetter"/>
      <w:lvlText w:val="%2."/>
      <w:lvlJc w:val="left"/>
      <w:pPr>
        <w:ind w:left="2357" w:hanging="360"/>
      </w:pPr>
      <w:rPr/>
    </w:lvl>
    <w:lvl w:ilvl="2">
      <w:start w:val="1"/>
      <w:numFmt w:val="lowerRoman"/>
      <w:lvlText w:val="%3."/>
      <w:lvlJc w:val="right"/>
      <w:pPr>
        <w:ind w:left="3077" w:hanging="180"/>
      </w:pPr>
      <w:rPr/>
    </w:lvl>
    <w:lvl w:ilvl="3">
      <w:start w:val="1"/>
      <w:numFmt w:val="decimal"/>
      <w:lvlText w:val="%4."/>
      <w:lvlJc w:val="left"/>
      <w:pPr>
        <w:ind w:left="3797" w:hanging="360"/>
      </w:pPr>
      <w:rPr/>
    </w:lvl>
    <w:lvl w:ilvl="4">
      <w:start w:val="1"/>
      <w:numFmt w:val="lowerLetter"/>
      <w:lvlText w:val="%5."/>
      <w:lvlJc w:val="left"/>
      <w:pPr>
        <w:ind w:left="4517" w:hanging="360"/>
      </w:pPr>
      <w:rPr/>
    </w:lvl>
    <w:lvl w:ilvl="5">
      <w:start w:val="1"/>
      <w:numFmt w:val="lowerRoman"/>
      <w:lvlText w:val="%6."/>
      <w:lvlJc w:val="right"/>
      <w:pPr>
        <w:ind w:left="5237" w:hanging="180"/>
      </w:pPr>
      <w:rPr/>
    </w:lvl>
    <w:lvl w:ilvl="6">
      <w:start w:val="1"/>
      <w:numFmt w:val="decimal"/>
      <w:lvlText w:val="%7."/>
      <w:lvlJc w:val="left"/>
      <w:pPr>
        <w:ind w:left="5957" w:hanging="360"/>
      </w:pPr>
      <w:rPr/>
    </w:lvl>
    <w:lvl w:ilvl="7">
      <w:start w:val="1"/>
      <w:numFmt w:val="lowerLetter"/>
      <w:lvlText w:val="%8."/>
      <w:lvlJc w:val="left"/>
      <w:pPr>
        <w:ind w:left="6677" w:hanging="360"/>
      </w:pPr>
      <w:rPr/>
    </w:lvl>
    <w:lvl w:ilvl="8">
      <w:start w:val="1"/>
      <w:numFmt w:val="lowerRoman"/>
      <w:lvlText w:val="%9."/>
      <w:lvlJc w:val="right"/>
      <w:pPr>
        <w:ind w:left="7397" w:hanging="180"/>
      </w:pPr>
      <w:rPr/>
    </w:lvl>
  </w:abstractNum>
  <w:abstractNum w:abstractNumId="5">
    <w:lvl w:ilvl="0">
      <w:start w:val="1"/>
      <w:numFmt w:val="bullet"/>
      <w:lvlText w:val="●"/>
      <w:lvlJc w:val="left"/>
      <w:pPr>
        <w:ind w:left="1635" w:hanging="1275"/>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3"/>
      <w:numFmt w:val="decimal"/>
      <w:lvlText w:val="5.%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b w:val="1"/>
        <w:bCs w:val="1"/>
      </w:rPr>
    </w:lvl>
    <w:lvl w:ilvl="1">
      <w:start w:val="1"/>
      <w:numFmt w:val="bullet"/>
      <w:lvlText w:val="−"/>
      <w:lvlJc w:val="left"/>
      <w:pPr>
        <w:ind w:left="2629" w:hanging="360"/>
      </w:pPr>
      <w:rPr>
        <w:rFonts w:ascii="Noto Sans Symbols" w:cs="Noto Sans Symbols" w:eastAsia="Noto Sans Symbols" w:hAnsi="Noto Sans Symbols"/>
        <w:b w:val="0"/>
        <w:bCs w:val="0"/>
        <w:color w:val="000000"/>
      </w:rPr>
    </w:lvl>
    <w:lvl w:ilvl="2">
      <w:start w:val="1"/>
      <w:numFmt w:val="decimal"/>
      <w:lvlText w:val="%1.−.%3."/>
      <w:lvlJc w:val="left"/>
      <w:pPr>
        <w:ind w:left="1778" w:hanging="720"/>
      </w:pPr>
      <w:rPr/>
    </w:lvl>
    <w:lvl w:ilvl="3">
      <w:start w:val="1"/>
      <w:numFmt w:val="decimal"/>
      <w:lvlText w:val="%1.−.%3.%4."/>
      <w:lvlJc w:val="left"/>
      <w:pPr>
        <w:ind w:left="2127" w:hanging="720"/>
      </w:pPr>
      <w:rPr/>
    </w:lvl>
    <w:lvl w:ilvl="4">
      <w:start w:val="1"/>
      <w:numFmt w:val="decimal"/>
      <w:lvlText w:val="%1.−.%3.%4.%5."/>
      <w:lvlJc w:val="left"/>
      <w:pPr>
        <w:ind w:left="2836" w:hanging="1078.9999999999998"/>
      </w:pPr>
      <w:rPr/>
    </w:lvl>
    <w:lvl w:ilvl="5">
      <w:start w:val="1"/>
      <w:numFmt w:val="decimal"/>
      <w:lvlText w:val="%1.−.%3.%4.%5.%6."/>
      <w:lvlJc w:val="left"/>
      <w:pPr>
        <w:ind w:left="3185" w:hanging="1080"/>
      </w:pPr>
      <w:rPr/>
    </w:lvl>
    <w:lvl w:ilvl="6">
      <w:start w:val="1"/>
      <w:numFmt w:val="decimal"/>
      <w:lvlText w:val="%1.−.%3.%4.%5.%6.%7."/>
      <w:lvlJc w:val="left"/>
      <w:pPr>
        <w:ind w:left="3894" w:hanging="1440"/>
      </w:pPr>
      <w:rPr/>
    </w:lvl>
    <w:lvl w:ilvl="7">
      <w:start w:val="1"/>
      <w:numFmt w:val="decimal"/>
      <w:lvlText w:val="%1.−.%3.%4.%5.%6.%7.%8."/>
      <w:lvlJc w:val="left"/>
      <w:pPr>
        <w:ind w:left="4243" w:hanging="1440"/>
      </w:pPr>
      <w:rPr/>
    </w:lvl>
    <w:lvl w:ilvl="8">
      <w:start w:val="1"/>
      <w:numFmt w:val="decimal"/>
      <w:lvlText w:val="%1.−.%3.%4.%5.%6.%7.%8.%9."/>
      <w:lvlJc w:val="left"/>
      <w:pPr>
        <w:ind w:left="4952" w:hanging="1800"/>
      </w:pPr>
      <w:rPr/>
    </w:lvl>
  </w:abstractNum>
  <w:abstractNum w:abstractNumId="10">
    <w:lvl w:ilvl="0">
      <w:start w:val="1"/>
      <w:numFmt w:val="bullet"/>
      <w:lvlText w:val="−"/>
      <w:lvlJc w:val="left"/>
      <w:pPr>
        <w:ind w:left="5606" w:hanging="360"/>
      </w:pPr>
      <w:rPr>
        <w:rFonts w:ascii="Noto Sans Symbols" w:cs="Noto Sans Symbols" w:eastAsia="Noto Sans Symbols" w:hAnsi="Noto Sans Symbols"/>
        <w:b w:val="0"/>
        <w:bCs w:val="0"/>
      </w:rPr>
    </w:lvl>
    <w:lvl w:ilvl="1">
      <w:start w:val="1"/>
      <w:numFmt w:val="lowerLetter"/>
      <w:lvlText w:val="%2."/>
      <w:lvlJc w:val="left"/>
      <w:pPr>
        <w:ind w:left="2357" w:hanging="360"/>
      </w:pPr>
      <w:rPr/>
    </w:lvl>
    <w:lvl w:ilvl="2">
      <w:start w:val="1"/>
      <w:numFmt w:val="lowerRoman"/>
      <w:lvlText w:val="%3."/>
      <w:lvlJc w:val="right"/>
      <w:pPr>
        <w:ind w:left="3077" w:hanging="180"/>
      </w:pPr>
      <w:rPr/>
    </w:lvl>
    <w:lvl w:ilvl="3">
      <w:start w:val="1"/>
      <w:numFmt w:val="decimal"/>
      <w:lvlText w:val="%4."/>
      <w:lvlJc w:val="left"/>
      <w:pPr>
        <w:ind w:left="3797" w:hanging="360"/>
      </w:pPr>
      <w:rPr/>
    </w:lvl>
    <w:lvl w:ilvl="4">
      <w:start w:val="1"/>
      <w:numFmt w:val="lowerLetter"/>
      <w:lvlText w:val="%5."/>
      <w:lvlJc w:val="left"/>
      <w:pPr>
        <w:ind w:left="4517" w:hanging="360"/>
      </w:pPr>
      <w:rPr/>
    </w:lvl>
    <w:lvl w:ilvl="5">
      <w:start w:val="1"/>
      <w:numFmt w:val="lowerRoman"/>
      <w:lvlText w:val="%6."/>
      <w:lvlJc w:val="right"/>
      <w:pPr>
        <w:ind w:left="5237" w:hanging="180"/>
      </w:pPr>
      <w:rPr/>
    </w:lvl>
    <w:lvl w:ilvl="6">
      <w:start w:val="1"/>
      <w:numFmt w:val="decimal"/>
      <w:lvlText w:val="%7."/>
      <w:lvlJc w:val="left"/>
      <w:pPr>
        <w:ind w:left="5957" w:hanging="360"/>
      </w:pPr>
      <w:rPr/>
    </w:lvl>
    <w:lvl w:ilvl="7">
      <w:start w:val="1"/>
      <w:numFmt w:val="lowerLetter"/>
      <w:lvlText w:val="%8."/>
      <w:lvlJc w:val="left"/>
      <w:pPr>
        <w:ind w:left="6677" w:hanging="360"/>
      </w:pPr>
      <w:rPr/>
    </w:lvl>
    <w:lvl w:ilvl="8">
      <w:start w:val="1"/>
      <w:numFmt w:val="lowerRoman"/>
      <w:lvlText w:val="%9."/>
      <w:lvlJc w:val="right"/>
      <w:pPr>
        <w:ind w:left="7397" w:hanging="180"/>
      </w:pPr>
      <w:rPr/>
    </w:lvl>
  </w:abstractNum>
  <w:abstractNum w:abstractNumId="1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6"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7"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8"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WEMYRUqilrQm0lNB7YjkgHJZQ==">CgMxLjAyDmguanQxb2dmcG92NjRvOAByITF3dy1pUEtRSThtOWdjaktnNl9KaDUycGlsYlFqcW1RWQ==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2026-02-04T07:31:00Z</dcterms:created>
  <dc:creator>User</dc:creator>
</cp:coreProperties>
</file>