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утв. решением Совета Союза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протокол № 1  от 03.02.2026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ПОЛОЖЕНИЕ О ПРОВЕДЕНИИ КОНКУРСА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ПО ОТБОРУ СПЕЦИАЛИЗИРОВАННОГО ДЕПОЗИТАРИЯ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СРО СОЮЗА АРБИТРАЖНЫХ УПРАВЛЯЮЩИХ «ПРОРЕШЕНИЯ»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Настоящее Положение о проведении конкурса по отбору специализированного депозитария для заключения договора об оказании услуг специализированного депозитария с Союзом «Саморегулируемая организация арбитражных управляющих «ПроРешения» (далее – Положение) разработано в соответствии с Федеральным законом от 01.12.2007 г. № 315-ФЗ «О саморегулируемых организациях», Федеральным законом от 26.10.2002 г. № 127-ФЗ «О несостоятельности (банкротстве)», других федеральных законов, Федеральным стандартом деятельности саморегулируемых организаций арбитражных управляющих «Правила проведения саморегулируемой организацией арбитражных управляющих проверок профессиональной деятельности членов саморегулируемой организации в части соблюдения требований Федерального закона «О несостоятельности (банкротстве)»,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утвержденных Приказом Минэкономразвития Российской Федерации от 03.07.2015 г. № 432, а также Уставом Союза «Саморегулируемая организация арбитражных управляющих «ПроРешения» (далее – Союз, саморегулируемая организация).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Компенсационным фондом является обособленное имущество, являющееся собственностью Союза, которое формируется исключительно в денежной форме за счет взносов членов Союза для финансового обеспечения ответственности Союза по возмещению убытков, причиненных членами Союза при исполнении обязанностей арбитражного управляющего в соответствии с Федеральным законом «О несостоятельности (банкротстве)».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Размещение средств компенсационного фонда Союза в целях их сохранения и прироста, их инвестирование осуществляются управляющей компанией на основании договора доверительного управления средствами компенсационного фонда Союза в порядке, установленном законодательством Российской Федерации, Уставом и внутренними документами Союза.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Контроль за соблюдением управляющими компаниями ограничений размещения и инвестирования средств компенсационного фонда Союза, правил их размещения и требований к их инвестированию осуществляется специализированным депозитарием на основании договора об оказании услуг специализированного депозитария.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Настоящее Положение определяет порядок проведения конкурса по отбору специализированного депозитария для заключения договора об оказании услуг специализированного депозитария.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27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Предмет конкурсного отбора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Выбор специализированного депозитария осуществляется Союзом на конкурсной основе в порядке, установленном законодательством Российской Федерации и настоящим Положением.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Совет Союза при принятии решения о проведении конкурса определяет критерии и условия проведения конкурса, требования к участникам конкурса, порядок проведения конкурса и решает иные вопросы, связанные с проведением конкурса.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 результатам конкурса определяется специализированный депозитарий, с которым заключается договор об оказании услуг специализированного депозитария.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Конкурсный отбор является открытым по составу претендентов.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Условиями конкурса являются обязательства специализированного депозитария: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bookmarkStart w:colFirst="0" w:colLast="0" w:name="_heading=h.9fw0vivvvbe9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осуществлять контроль за деятельностью по инвестированию средств компенсационного фонда, осуществляемой управляющей компанией, с которой Союзом заключен (будет заключен) договор доверительного управления средствами компенсационного фонда, в том числе о соблюдении требований, предусмотренных п. 15 ст. 25.1 Федерального закона «О несостоятельности (банкротстве)»;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уведомлять Союз о приостановлении действия или об отзыве (аннулировании) у него лицензии профессионального участника рынка ценных бумаг на осуществление депозитарной деятельности и (или) лицензии на осуществление деятельности специализированного депозитария инвестиционных фондов, паевых инвестиционных фондов и негосударственных пенсионных фондов не позднее рабочего дня, следующего за днем принятия соответствующего решения или, если такое решение принимается судом, за днем вступления его решения в законную силу;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уведомлять Союз о применении в отношении специализированного депозитария процедуры, применяемой в деле о несостоятельности (банкротства), а именно наблюдения, финансового оздоровления, внешнего управления, конкурсного производства, а также о принятии решения о его ликвидации не позднее рабочего дня, следующего за днем введения процедуры несостоятельности (банкротства), либо за днем принятия решения о ликвидации специализированного депозитария, либо, если такое решение принимается судом, за днем его вступления в законную силу.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426"/>
          <w:tab w:val="left" w:leader="none" w:pos="127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Организатор конкурса. Конкурсная комиссия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Организатором конкурса выступает Конкурсная комиссия Союза. Количественный и персональный состав Конкурсной комиссии определяется и утверждается решением Совета Союза в соответствии с Уставом и внутренними документами Союзами.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Конкурсная комиссия осуществляет рассмотрение заявок на участие в конкурсе и оценку претендентов на соответствие установленным требованиям, определяет победителей конкурса в соответствии с критериями, установленными настоящим Положением и конкурсной документацией.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Конкурсная комиссия осуществляет следующие полномочия: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разрабатывает и утверждает формы заявки на участие в конкурсе, а также иных документов, связанных с организацией и проведением конкурса;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устанавливает сроки и место приема заявок на участие в конкурсе и документов, предусмотренных настоящим Положением;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определяет место, дату и время заседания по рассмотрению поступивших заявок на участие в конкурсе и определению победителя конкурса;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осуществляет рассмотрение заявок на участие в конкурсе и оценку претендентов на соответствие установленным требованиям, определяет участников и победителей конкурса в соответствии с критериями, установленными настоящим Положением;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осуществляет иные полномочия, предусмотренные внутренними документами Союза.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Заседание Конкурсной комиссии является правомочным, если на нем присутствует не менее чем пятьдесят процентов общего числа ее членов. Решения Конкурсной комиссии принимаются большинством голосов от числа голосов членов, принявших участие в заседании. В случае равенства числа голосов голос председателя Конкурсной комиссии считается решающим. При голосовании каждый член комиссии имеет один голос.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Союз размещает на официальном сайте извещение о проведении конкурса (далее – извещение). В извещении указываются следующие сведения: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  <w:tab w:val="left" w:leader="none" w:pos="1418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наименование, местонахождение, почтовый адрес, адрес электронной почты;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  <w:tab w:val="left" w:leader="none" w:pos="1418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предмет конкурса;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  <w:tab w:val="left" w:leader="none" w:pos="1418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место и сроки приема заявок на участие в конкурсе (далее – заявки);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  <w:tab w:val="left" w:leader="none" w:pos="1418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порядок приема заявок;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  <w:tab w:val="left" w:leader="none" w:pos="1418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порядок определения победителя конкурса;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  <w:tab w:val="left" w:leader="none" w:pos="1418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место, дата, время заседаний Конкурсной комиссии.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За разъяснениями по порядку проведения конкурса и конкурсной документации претендент может обращаться до истечения срока подачи заявок на участие в конкурсном отборе к Конкурсной комиссии путем направления соответствующего запроса.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 любое время, но не позднее, чем за 5 (пять) рабочих дней до окончания срока представления конкурсных заявок, Конкурсная комиссия по своей инициативе или в ответ на запрос претендента, может внести дополнения и изменения в конкурсную документацию.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Претендент вправе изменить или отозвать свою заявку на участие в конкурсе в любое время до истечения установленного срока приема заявок на участие в конкурсе. Изменение заявки на участие в конкурсе или уведомление о ее отзыве считается действительным, если такое изменение или такое уведомление поступило в Конкурсную комиссию до истечения установленного срока приема заявок на участие в конкурсе.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Один претендент вправе подать только одну заявку на участие в конкурсе.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Каждый претендент и участник конкурса самостоятельно несет все расходы, связанные с участием в конкурсе, а также подготовкой и подачей заявки на участие в конкурсе и документов, предусмотренных настоящим Положением.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  <w:tab w:val="left" w:leader="none" w:pos="524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Решения конкурсной комиссии в день их принятия оформляются протоколами, которые подписывают члены конкурсной комиссии, принявшие участие в заседании. Не допускаются заполнение протоколов карандашом и внесение в них исправлений.</w:t>
      </w:r>
    </w:p>
    <w:p w:rsidR="00000000" w:rsidDel="00000000" w:rsidP="00000000" w:rsidRDefault="00000000" w:rsidRPr="00000000" w14:paraId="00000033">
      <w:pPr>
        <w:tabs>
          <w:tab w:val="left" w:leader="none" w:pos="1276"/>
          <w:tab w:val="left" w:leader="none" w:pos="524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Требования к участникам конкурса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Rule="auto"/>
        <w:ind w:left="0" w:firstLine="709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 качестве участника конкурса может выступать специализированный депозитарий, соответствующий следующим требованиям: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наличие лицензии на осуществление депозитарной деятельности и лицензии на осуществление деятельности специализированного депозитария инвестиционных фондов, паевых инвестиционных фондов и негосударственных пенсионных фондов;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отсутствие решений арбитражного суда о введении в отношении специализированного депозитария в течение двух лет, предшествующих дате подачи заявки на участие в конкурсе, процедур банкротства, предусмотренных законодательством о банкротстве;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неприменение санкций к специализированному депозитарию в виде аннулирования или приостановления действия лицензии на осуществление деятельности специализированного депозитария в течение 2 (двух) лет, предшествующих дате подачи заявки на участие в конкурсе;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отсутствие просроченной задолженности по уплате обязательных платежей по состоянию на 1 января года, предшествующего году проведения конкурса, и на 1 января года, в котором проводится конкурс, а также на последнюю отчетную дату перед датой подачи заявки на участие в конкурсе;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продолжительность деятельности специализированного депозитария на дату подачи заявки на участие в конкурсе должна составлять не менее 5 лет. При этом деятельности в качестве специализированного депозитария инвестиционных фондов или негосударственных пенсионных фондов считается дата вступления в силу первого договора, заключенного с инвестиционным фондом или негосударственным пенсионным фондом, а для специализированного депозитария паевых инвестиционных фондов – дата завершения формирования первого паевого инвестиционного фонда);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соответствие требованиям законодательства Российской Федерации о минимальном размере собственного капитала специализированного депозитария.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отсутствие аффилированности в отношении Союза и управляющей компании, с которой Союзом заключен (будет заключен) договор доверительного управления средствами компенсационного фонда Союза. 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Совет Союза при принятии решения о проведении конкурса вправе в Извещении о проведении конкурса указать дополнительные требования, которым должен отвечать специализированный депозитарий.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426"/>
          <w:tab w:val="left" w:leader="none" w:pos="127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Порядок подачи заявок на участие в конкурсе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При подготовке к проведению конкурса Конкурсная комиссия осуществляет прием заявок на участие в конкурсе и предложений о критериях конкурса.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Заявка должна соответствовать форме (Приложение №1 к настоящему Положению). Одновременно с заявкой на участие в конкурсе претендент представляет следующие документы: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418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копия лицензии на осуществление депозитарной деятельности и лицензии на осуществление деятельности специализированного депозитария инвестиционных фондов, паевых инвестиционных фондов и негосударственных пенсионных фондов, заверенная руководителем претендента;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418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копии учредительных документов юридического лица;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418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копия свидетельства о государственной регистрации юридического лица;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418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выписка из Единого государственного реестра юридических лиц, выданная не позднее 30 (тридцати) дней до даты направления конкурсной заявки;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418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копия бухгалтерского баланса и отчета о прибылях и убытках за предшествующий год, копия аудиторского заключения (при наличии);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418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сведения об аффилированных лицах претендента;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418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справка об отсутствии просроченной задолженности перед бюджетами всех уровней по состоянию на последнюю отчетную дату;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418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иные документы, подтверждающие соответствие участника требованиям, изложенным в п. 4.1. настоящего Положения;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418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конкурсное предложение, содержащее предлагаемый размер вознаграждения;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418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проект договора об оказании услуг специализированного депозитария.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Документы, предусмотренные подпунктом 5.2 настоящего Положения, представляются отдельно в запечатанном конверте.</w:t>
      </w:r>
    </w:p>
    <w:p w:rsidR="00000000" w:rsidDel="00000000" w:rsidP="00000000" w:rsidRDefault="00000000" w:rsidRPr="00000000" w14:paraId="0000004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Заявка на участие в конкурсе оформляется на русском языке в двух экземплярах (оригинал и копия), каждый из которых удостоверяется подписью руководителя претендента. К заявке на участие в конкурсе прилагается удостоверенная подписью руководителя претендента опись представленных документов и материалов, оригинал которой остается в конкурсной комиссии, копия может быть передана претенденту по его требованию.</w:t>
      </w:r>
    </w:p>
    <w:p w:rsidR="00000000" w:rsidDel="00000000" w:rsidP="00000000" w:rsidRDefault="00000000" w:rsidRPr="00000000" w14:paraId="0000005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 результатам рассмотрения представленных заявок на участие в конкурсе и прилагаемых к ним документов, Конкурсная комиссия принимает решение о допуске или об отказе в допуске к участию в конкурсе. Решение Конкурсной комиссии оформляется протоколом об определении участников конкурса.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Решение о допуске заявителя к участию в конкурсе и о признании его участником конкурса принимается, если заявитель и представленные им заявка и документы соответствуют требованиям, указанным в извещении о проведении конкурса.</w:t>
      </w:r>
    </w:p>
    <w:p w:rsidR="00000000" w:rsidDel="00000000" w:rsidP="00000000" w:rsidRDefault="00000000" w:rsidRPr="00000000" w14:paraId="0000005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Конкурсная комиссия вправе потребовать от претендента разъяснения положений представленных им документов и материалов, подтверждающих его соответствие указанным требованиям</w:t>
      </w:r>
    </w:p>
    <w:p w:rsidR="00000000" w:rsidDel="00000000" w:rsidP="00000000" w:rsidRDefault="00000000" w:rsidRPr="00000000" w14:paraId="00000053">
      <w:pPr>
        <w:tabs>
          <w:tab w:val="left" w:leader="none" w:pos="426"/>
          <w:tab w:val="left" w:leader="none" w:pos="1418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720" w:hanging="360"/>
        <w:jc w:val="cente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Порядок проведения конкурса и определения победителя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Заявки рассматриваются на заседании Конкурсной комиссии. Рассмотрению подлежат все заявки на участие в конкурсе и документы, прилагаемые к ним, представленные в Конкурсную комиссию в установленные сроки приема заявок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 результатам рассмотрения заявки, документов и материалов, прилагаемых к ней, Конкурсная комиссия определяет соответствие претендента требованиям к участникам конкурса, принимает решение о допуске претендента к участию в конкурсе или об отказе в допуске претендента к участию в конкурсе и оформляет это решение протоколом определения лиц, допущенных к участию в конкурсе.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Итоги проведения конкурса оформляются протоколом о результатах проведения конкурса, в котором указываются следующие сведения: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критерий конкурса;</w:t>
      </w:r>
    </w:p>
    <w:p w:rsidR="00000000" w:rsidDel="00000000" w:rsidP="00000000" w:rsidRDefault="00000000" w:rsidRPr="00000000" w14:paraId="0000005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конкурсные предложения, представленные каждым участником конкурса;</w:t>
      </w:r>
    </w:p>
    <w:p w:rsidR="00000000" w:rsidDel="00000000" w:rsidP="00000000" w:rsidRDefault="00000000" w:rsidRPr="00000000" w14:paraId="0000005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результаты рассмотрения конкурсных предложений, представленных участниками;</w:t>
      </w:r>
    </w:p>
    <w:p w:rsidR="00000000" w:rsidDel="00000000" w:rsidP="00000000" w:rsidRDefault="00000000" w:rsidRPr="00000000" w14:paraId="0000005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наименование и место нахождения участника конкурса, предложившего наименьший размер вознаграждения специализированного депозитария по сравнению с конкурсными предложениями других участников конкурса за исключением конкурсного предложения победителя конкурса;</w:t>
      </w:r>
    </w:p>
    <w:p w:rsidR="00000000" w:rsidDel="00000000" w:rsidP="00000000" w:rsidRDefault="00000000" w:rsidRPr="00000000" w14:paraId="0000005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наименование и место нахождения победителя конкурса;</w:t>
      </w:r>
    </w:p>
    <w:p w:rsidR="00000000" w:rsidDel="00000000" w:rsidP="00000000" w:rsidRDefault="00000000" w:rsidRPr="00000000" w14:paraId="0000005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обоснование принятого конкурсной комиссией решения о признании участника конкурса победителем.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 случае представления для участия в конкурсе менее двух заявок и (или) допуска к участию в конкурсе менее двух участников Конкурсная комиссия вправе принять решение о заключении договора об оказании услуг специализированного депозитария с единственным участником конкурса.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 течение 15 (пятнадцати) календарных дней со дня опубликования результатов конкурса на сайте Союза, специализированный депозитарий, признанный победителем в конкурсе, должен заключить договор об оказании услуг специализированного депозитария по форме проекта договора, представленного к конкурсному предложению. При этом стороны вправе согласовать и внести дополнения и/или изменения в первоначальный проект договора.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 случае, если в указанный срок договор не будет заключен, или победитель конкурса откажется от его заключения, а также если после объявления победителя конкурса выявятся факты несоответствия победителя конкурса установленным требованиям, Организатор конкурса вправе: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предложить заключить договор участнику конкурса, конкурсное предложение которого по результатам сравнения конкурсных предложений содержит лучшие условия, следующие после условий, предложенных победителем конкурса;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объявить конкурс несостоявшимся.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Заключительные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Настоящее Положение вступает в силу с момента утверждения Советом Союза.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  <w:sectPr>
          <w:footerReference r:id="rId7" w:type="default"/>
          <w:pgSz w:h="16838" w:w="11906" w:orient="portrait"/>
          <w:pgMar w:bottom="851" w:top="851" w:left="1276" w:right="850" w:header="708" w:footer="708"/>
          <w:pgNumType w:start="1"/>
          <w:titlePg w:val="1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Изменения и дополнения к настоящему Положению вступают в силу после их утверждения Советом Союза.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ind w:left="4536" w:firstLine="0"/>
        <w:jc w:val="right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ПРИЛОЖЕНИЕ №1</w:t>
      </w:r>
    </w:p>
    <w:p w:rsidR="00000000" w:rsidDel="00000000" w:rsidP="00000000" w:rsidRDefault="00000000" w:rsidRPr="00000000" w14:paraId="0000006A">
      <w:pPr>
        <w:spacing w:after="0" w:line="240" w:lineRule="auto"/>
        <w:ind w:left="4536" w:firstLine="0"/>
        <w:jc w:val="right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к Положению о проведении конкурса по отбору </w:t>
      </w:r>
    </w:p>
    <w:p w:rsidR="00000000" w:rsidDel="00000000" w:rsidP="00000000" w:rsidRDefault="00000000" w:rsidRPr="00000000" w14:paraId="0000006B">
      <w:pPr>
        <w:spacing w:after="0" w:line="240" w:lineRule="auto"/>
        <w:ind w:left="4536" w:firstLine="0"/>
        <w:jc w:val="right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специализированного депозитария для заключения договора об оказании услуг специализированного депозитария с Союзом арбитражных управляющих «ПроРешения»</w:t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ind w:left="4962" w:right="-143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В Конкурсную комиссию</w:t>
      </w:r>
    </w:p>
    <w:p w:rsidR="00000000" w:rsidDel="00000000" w:rsidP="00000000" w:rsidRDefault="00000000" w:rsidRPr="00000000" w14:paraId="0000006E">
      <w:pPr>
        <w:spacing w:after="0" w:line="240" w:lineRule="auto"/>
        <w:ind w:left="4962" w:right="-143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Организатора конкурса СРО САУ «ПроРешения»</w:t>
      </w:r>
    </w:p>
    <w:p w:rsidR="00000000" w:rsidDel="00000000" w:rsidP="00000000" w:rsidRDefault="00000000" w:rsidRPr="00000000" w14:paraId="0000006F">
      <w:pPr>
        <w:spacing w:after="0" w:line="240" w:lineRule="auto"/>
        <w:ind w:left="4962" w:right="-143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ИНН 0274390698, ОГРН 1240200036449</w:t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jc w:val="center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Конкурсная заявка</w:t>
      </w:r>
    </w:p>
    <w:p w:rsidR="00000000" w:rsidDel="00000000" w:rsidP="00000000" w:rsidRDefault="00000000" w:rsidRPr="00000000" w14:paraId="00000073">
      <w:pPr>
        <w:spacing w:after="0" w:line="240" w:lineRule="auto"/>
        <w:jc w:val="center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на участие в конкурсе по отбору специализированного депозитария</w:t>
      </w:r>
    </w:p>
    <w:p w:rsidR="00000000" w:rsidDel="00000000" w:rsidP="00000000" w:rsidRDefault="00000000" w:rsidRPr="00000000" w14:paraId="00000074">
      <w:pPr>
        <w:spacing w:after="0" w:line="240" w:lineRule="auto"/>
        <w:jc w:val="center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для заключения договора об оказании услуг специализированного депозитария</w:t>
      </w:r>
    </w:p>
    <w:p w:rsidR="00000000" w:rsidDel="00000000" w:rsidP="00000000" w:rsidRDefault="00000000" w:rsidRPr="00000000" w14:paraId="00000075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Изучив Положение о проведении конкурса по отбору специализированного депозитария для заключения договора об оказании услуг специализированного депозитария с Союзом арбитражных управляющих «ПроРешения», а также применимые к данному конкурсу законодательство и нормативные документы,</w:t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0.0" w:type="dxa"/>
        <w:jc w:val="left"/>
        <w:tblInd w:w="-113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4957"/>
        <w:gridCol w:w="4813"/>
        <w:tblGridChange w:id="0">
          <w:tblGrid>
            <w:gridCol w:w="4957"/>
            <w:gridCol w:w="48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Наименование претендента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ИНН, ОГРН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Юридический адрес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для направления корреспонденции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Контактный номер телефона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электронной почты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Лицензия на осуществление деятельности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Банковские реквизиты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Лицензия на осуществление депозитарной деятельности и лицензии на осуществление деятельности специализированного депозитария инвестиционных фондов, паевых инвестиционных фондов и негосударственных пенсионных фондов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Продолжительность деятельности в качестве специализированного депозитария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Количество договоров об оказании услуг специализированного депозитария на дату подачи настоящей конкурсной заявки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Размера контролируемого имущества ипотечного покрытия, акционерных инвестиционных фондов, паевых инвестиционных фондов, государственных корпорация, саморегулируемых организация, пенсионных резервов негосударственных пенсионных фондов и средств пенсионных накоплений негосударственных пенсионных фондов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Рейтинг надежности (кредитоспособности), присвоенный национальными или международными рейтинговыми агентствами, аккредитованными Центральным Банком России (при наличии)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(далее – претендент) сообщает о своем намерении участвовать в конкурсном отборе на условиях, установленных Организатором конкурса. </w:t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Претендент гарантирует достоверность представленной в настоящей конкурсной заявке информации и подтверждает право Организатора конкурса запрашивать разъяснения положений представленных документов и материалов, подтверждающих соответствие претендента требованиям, установленными внутренними документами Союза и действующим законодательством.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 случае признания претендента победителем по результатам проведения конкурсного отбора, претендент обязуется заключить с Союзом договор об оказании услуг специализированного депозитария.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 настоящей конкурсной заявке прилагаются документы согласно описи, а также внутренний запечатанный конверт с конкурсным предложением.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141" w:hanging="360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Сообщаем также дополнительную информацию (при наличии): 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before="80" w:lineRule="auto"/>
        <w:ind w:firstLine="709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9D">
      <w:pPr>
        <w:spacing w:before="80" w:lineRule="auto"/>
        <w:ind w:firstLine="709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__________________________________________________________________________________.</w:t>
      </w:r>
    </w:p>
    <w:p w:rsidR="00000000" w:rsidDel="00000000" w:rsidP="00000000" w:rsidRDefault="00000000" w:rsidRPr="00000000" w14:paraId="0000009E">
      <w:pPr>
        <w:spacing w:after="0" w:before="8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before="8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before="8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189"/>
        <w:gridCol w:w="4581"/>
        <w:tblGridChange w:id="0">
          <w:tblGrid>
            <w:gridCol w:w="5189"/>
            <w:gridCol w:w="45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4973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516"/>
              <w:gridCol w:w="2457"/>
              <w:tblGridChange w:id="0">
                <w:tblGrid>
                  <w:gridCol w:w="2516"/>
                  <w:gridCol w:w="245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A2">
                  <w:pPr>
                    <w:spacing w:before="80" w:lineRule="auto"/>
                    <w:jc w:val="both"/>
                    <w:rPr>
                      <w:rFonts w:ascii="Times New Roman" w:cs="Times New Roman" w:eastAsia="Times New Roman" w:hAnsi="Times New Roman"/>
                      <w:sz w:val="23"/>
                      <w:szCs w:val="23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3"/>
                      <w:szCs w:val="23"/>
                      <w:rtl w:val="0"/>
                    </w:rPr>
                    <w:t xml:space="preserve">____________________</w:t>
                  </w:r>
                </w:p>
              </w:tc>
              <w:tc>
                <w:tcPr/>
                <w:p w:rsidR="00000000" w:rsidDel="00000000" w:rsidP="00000000" w:rsidRDefault="00000000" w:rsidRPr="00000000" w14:paraId="000000A3">
                  <w:pPr>
                    <w:spacing w:before="80" w:lineRule="auto"/>
                    <w:jc w:val="both"/>
                    <w:rPr>
                      <w:rFonts w:ascii="Times New Roman" w:cs="Times New Roman" w:eastAsia="Times New Roman" w:hAnsi="Times New Roman"/>
                      <w:sz w:val="23"/>
                      <w:szCs w:val="23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A4">
                  <w:pPr>
                    <w:spacing w:before="80" w:lineRule="auto"/>
                    <w:jc w:val="both"/>
                    <w:rPr>
                      <w:rFonts w:ascii="Times New Roman" w:cs="Times New Roman" w:eastAsia="Times New Roman" w:hAnsi="Times New Roman"/>
                      <w:sz w:val="23"/>
                      <w:szCs w:val="23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3"/>
                      <w:szCs w:val="23"/>
                      <w:rtl w:val="0"/>
                    </w:rPr>
                    <w:t xml:space="preserve">(должность)</w:t>
                  </w:r>
                </w:p>
              </w:tc>
              <w:tc>
                <w:tcPr/>
                <w:p w:rsidR="00000000" w:rsidDel="00000000" w:rsidP="00000000" w:rsidRDefault="00000000" w:rsidRPr="00000000" w14:paraId="000000A5">
                  <w:pPr>
                    <w:spacing w:before="80" w:lineRule="auto"/>
                    <w:jc w:val="both"/>
                    <w:rPr>
                      <w:rFonts w:ascii="Times New Roman" w:cs="Times New Roman" w:eastAsia="Times New Roman" w:hAnsi="Times New Roman"/>
                      <w:sz w:val="23"/>
                      <w:szCs w:val="23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6">
            <w:pPr>
              <w:spacing w:before="80" w:lineRule="auto"/>
              <w:jc w:val="both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3486.0" w:type="dxa"/>
              <w:jc w:val="left"/>
              <w:tblInd w:w="879.0" w:type="dxa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711"/>
              <w:gridCol w:w="1775"/>
              <w:tblGridChange w:id="0">
                <w:tblGrid>
                  <w:gridCol w:w="1711"/>
                  <w:gridCol w:w="177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A8">
                  <w:pPr>
                    <w:spacing w:before="80" w:lineRule="auto"/>
                    <w:jc w:val="right"/>
                    <w:rPr>
                      <w:rFonts w:ascii="Times New Roman" w:cs="Times New Roman" w:eastAsia="Times New Roman" w:hAnsi="Times New Roman"/>
                      <w:sz w:val="23"/>
                      <w:szCs w:val="23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3"/>
                      <w:szCs w:val="23"/>
                      <w:rtl w:val="0"/>
                    </w:rPr>
                    <w:t xml:space="preserve">_____________</w:t>
                  </w:r>
                </w:p>
              </w:tc>
              <w:tc>
                <w:tcPr/>
                <w:p w:rsidR="00000000" w:rsidDel="00000000" w:rsidP="00000000" w:rsidRDefault="00000000" w:rsidRPr="00000000" w14:paraId="000000A9">
                  <w:pPr>
                    <w:spacing w:before="80" w:lineRule="auto"/>
                    <w:rPr>
                      <w:rFonts w:ascii="Times New Roman" w:cs="Times New Roman" w:eastAsia="Times New Roman" w:hAnsi="Times New Roman"/>
                      <w:sz w:val="23"/>
                      <w:szCs w:val="23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3"/>
                      <w:szCs w:val="23"/>
                      <w:rtl w:val="0"/>
                    </w:rPr>
                    <w:t xml:space="preserve">/_____________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AA">
                  <w:pPr>
                    <w:spacing w:before="80" w:lineRule="auto"/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подпись</w:t>
                  </w:r>
                </w:p>
              </w:tc>
              <w:tc>
                <w:tcPr/>
                <w:p w:rsidR="00000000" w:rsidDel="00000000" w:rsidP="00000000" w:rsidRDefault="00000000" w:rsidRPr="00000000" w14:paraId="000000AB">
                  <w:pPr>
                    <w:spacing w:before="80" w:lineRule="auto"/>
                    <w:jc w:val="right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Фамилия И.О.</w:t>
                  </w:r>
                </w:p>
              </w:tc>
            </w:tr>
          </w:tbl>
          <w:p w:rsidR="00000000" w:rsidDel="00000000" w:rsidP="00000000" w:rsidRDefault="00000000" w:rsidRPr="00000000" w14:paraId="000000AC">
            <w:pPr>
              <w:spacing w:before="80" w:lineRule="auto"/>
              <w:jc w:val="right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spacing w:before="80" w:lineRule="auto"/>
              <w:jc w:val="both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before="80" w:lineRule="auto"/>
              <w:jc w:val="both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spacing w:after="0" w:before="8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center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sectPr>
      <w:footerReference r:id="rId8" w:type="default"/>
      <w:type w:val="nextPage"/>
      <w:pgSz w:h="16838" w:w="11906" w:orient="portrait"/>
      <w:pgMar w:bottom="709" w:top="851" w:left="1276" w:right="850" w:header="708" w:footer="708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778" w:hanging="720"/>
      </w:pPr>
      <w:rPr/>
    </w:lvl>
    <w:lvl w:ilvl="3">
      <w:start w:val="1"/>
      <w:numFmt w:val="decimal"/>
      <w:lvlText w:val="%1.%2.%3.%4."/>
      <w:lvlJc w:val="left"/>
      <w:pPr>
        <w:ind w:left="2127" w:hanging="720"/>
      </w:pPr>
      <w:rPr/>
    </w:lvl>
    <w:lvl w:ilvl="4">
      <w:start w:val="1"/>
      <w:numFmt w:val="decimal"/>
      <w:lvlText w:val="%1.%2.%3.%4.%5."/>
      <w:lvlJc w:val="left"/>
      <w:pPr>
        <w:ind w:left="2836" w:hanging="1078.9999999999998"/>
      </w:pPr>
      <w:rPr/>
    </w:lvl>
    <w:lvl w:ilvl="5">
      <w:start w:val="1"/>
      <w:numFmt w:val="decimal"/>
      <w:lvlText w:val="%1.%2.%3.%4.%5.%6."/>
      <w:lvlJc w:val="left"/>
      <w:pPr>
        <w:ind w:left="3185" w:hanging="1080"/>
      </w:pPr>
      <w:rPr/>
    </w:lvl>
    <w:lvl w:ilvl="6">
      <w:start w:val="1"/>
      <w:numFmt w:val="decimal"/>
      <w:lvlText w:val="%1.%2.%3.%4.%5.%6.%7."/>
      <w:lvlJc w:val="left"/>
      <w:pPr>
        <w:ind w:left="3894" w:hanging="1440"/>
      </w:pPr>
      <w:rPr/>
    </w:lvl>
    <w:lvl w:ilvl="7">
      <w:start w:val="1"/>
      <w:numFmt w:val="decimal"/>
      <w:lvlText w:val="%1.%2.%3.%4.%5.%6.%7.%8."/>
      <w:lvlJc w:val="left"/>
      <w:pPr>
        <w:ind w:left="4243" w:hanging="1440"/>
      </w:pPr>
      <w:rPr/>
    </w:lvl>
    <w:lvl w:ilvl="8">
      <w:start w:val="1"/>
      <w:numFmt w:val="decimal"/>
      <w:lvlText w:val="%1.%2.%3.%4.%5.%6.%7.%8.%9."/>
      <w:lvlJc w:val="left"/>
      <w:pPr>
        <w:ind w:left="4952" w:hanging="1800"/>
      </w:pPr>
      <w:rPr/>
    </w:lvl>
  </w:abstractNum>
  <w:abstractNum w:abstractNumId="2">
    <w:lvl w:ilvl="0">
      <w:start w:val="6"/>
      <w:numFmt w:val="decimal"/>
      <w:lvlText w:val="3.%1."/>
      <w:lvlJc w:val="left"/>
      <w:pPr>
        <w:ind w:left="5606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635" w:hanging="1275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)"/>
      <w:lvlJc w:val="left"/>
      <w:pPr>
        <w:ind w:left="1429" w:hanging="360"/>
      </w:pPr>
      <w:rPr/>
    </w:lvl>
    <w:lvl w:ilvl="1">
      <w:start w:val="1"/>
      <w:numFmt w:val="lowerLetter"/>
      <w:lvlText w:val="%2."/>
      <w:lvlJc w:val="left"/>
      <w:pPr>
        <w:ind w:left="2149" w:hanging="360"/>
      </w:pPr>
      <w:rPr/>
    </w:lvl>
    <w:lvl w:ilvl="2">
      <w:start w:val="1"/>
      <w:numFmt w:val="lowerRoman"/>
      <w:lvlText w:val="%3."/>
      <w:lvlJc w:val="right"/>
      <w:pPr>
        <w:ind w:left="2869" w:hanging="180"/>
      </w:pPr>
      <w:rPr/>
    </w:lvl>
    <w:lvl w:ilvl="3">
      <w:start w:val="1"/>
      <w:numFmt w:val="decimal"/>
      <w:lvlText w:val="%4."/>
      <w:lvlJc w:val="left"/>
      <w:pPr>
        <w:ind w:left="3589" w:hanging="360"/>
      </w:pPr>
      <w:rPr/>
    </w:lvl>
    <w:lvl w:ilvl="4">
      <w:start w:val="1"/>
      <w:numFmt w:val="lowerLetter"/>
      <w:lvlText w:val="%5."/>
      <w:lvlJc w:val="left"/>
      <w:pPr>
        <w:ind w:left="4309" w:hanging="360"/>
      </w:pPr>
      <w:rPr/>
    </w:lvl>
    <w:lvl w:ilvl="5">
      <w:start w:val="1"/>
      <w:numFmt w:val="lowerRoman"/>
      <w:lvlText w:val="%6."/>
      <w:lvlJc w:val="right"/>
      <w:pPr>
        <w:ind w:left="5029" w:hanging="180"/>
      </w:pPr>
      <w:rPr/>
    </w:lvl>
    <w:lvl w:ilvl="6">
      <w:start w:val="1"/>
      <w:numFmt w:val="decimal"/>
      <w:lvlText w:val="%7."/>
      <w:lvlJc w:val="left"/>
      <w:pPr>
        <w:ind w:left="5749" w:hanging="360"/>
      </w:pPr>
      <w:rPr/>
    </w:lvl>
    <w:lvl w:ilvl="7">
      <w:start w:val="1"/>
      <w:numFmt w:val="lowerLetter"/>
      <w:lvlText w:val="%8."/>
      <w:lvlJc w:val="left"/>
      <w:pPr>
        <w:ind w:left="6469" w:hanging="360"/>
      </w:pPr>
      <w:rPr/>
    </w:lvl>
    <w:lvl w:ilvl="8">
      <w:start w:val="1"/>
      <w:numFmt w:val="lowerRoman"/>
      <w:lvlText w:val="%9."/>
      <w:lvlJc w:val="right"/>
      <w:pPr>
        <w:ind w:left="7189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3"/>
      <w:numFmt w:val="decimal"/>
      <w:lvlText w:val="5.%1."/>
      <w:lvlJc w:val="left"/>
      <w:pPr>
        <w:ind w:left="1429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bullet"/>
      <w:lvlText w:val="−"/>
      <w:lvlJc w:val="left"/>
      <w:pPr>
        <w:ind w:left="5606" w:hanging="360"/>
      </w:pPr>
      <w:rPr>
        <w:rFonts w:ascii="Noto Sans Symbols" w:cs="Noto Sans Symbols" w:eastAsia="Noto Sans Symbols" w:hAnsi="Noto Sans Symbols"/>
        <w:b w:val="0"/>
        <w:bCs w:val="0"/>
      </w:rPr>
    </w:lvl>
    <w:lvl w:ilvl="1">
      <w:start w:val="1"/>
      <w:numFmt w:val="lowerLetter"/>
      <w:lvlText w:val="%2."/>
      <w:lvlJc w:val="left"/>
      <w:pPr>
        <w:ind w:left="2357" w:hanging="360"/>
      </w:pPr>
      <w:rPr/>
    </w:lvl>
    <w:lvl w:ilvl="2">
      <w:start w:val="1"/>
      <w:numFmt w:val="lowerRoman"/>
      <w:lvlText w:val="%3."/>
      <w:lvlJc w:val="right"/>
      <w:pPr>
        <w:ind w:left="3077" w:hanging="180"/>
      </w:pPr>
      <w:rPr/>
    </w:lvl>
    <w:lvl w:ilvl="3">
      <w:start w:val="1"/>
      <w:numFmt w:val="decimal"/>
      <w:lvlText w:val="%4."/>
      <w:lvlJc w:val="left"/>
      <w:pPr>
        <w:ind w:left="3797" w:hanging="360"/>
      </w:pPr>
      <w:rPr/>
    </w:lvl>
    <w:lvl w:ilvl="4">
      <w:start w:val="1"/>
      <w:numFmt w:val="lowerLetter"/>
      <w:lvlText w:val="%5."/>
      <w:lvlJc w:val="left"/>
      <w:pPr>
        <w:ind w:left="4517" w:hanging="360"/>
      </w:pPr>
      <w:rPr/>
    </w:lvl>
    <w:lvl w:ilvl="5">
      <w:start w:val="1"/>
      <w:numFmt w:val="lowerRoman"/>
      <w:lvlText w:val="%6."/>
      <w:lvlJc w:val="right"/>
      <w:pPr>
        <w:ind w:left="5237" w:hanging="180"/>
      </w:pPr>
      <w:rPr/>
    </w:lvl>
    <w:lvl w:ilvl="6">
      <w:start w:val="1"/>
      <w:numFmt w:val="decimal"/>
      <w:lvlText w:val="%7."/>
      <w:lvlJc w:val="left"/>
      <w:pPr>
        <w:ind w:left="5957" w:hanging="360"/>
      </w:pPr>
      <w:rPr/>
    </w:lvl>
    <w:lvl w:ilvl="7">
      <w:start w:val="1"/>
      <w:numFmt w:val="lowerLetter"/>
      <w:lvlText w:val="%8."/>
      <w:lvlJc w:val="left"/>
      <w:pPr>
        <w:ind w:left="6677" w:hanging="360"/>
      </w:pPr>
      <w:rPr/>
    </w:lvl>
    <w:lvl w:ilvl="8">
      <w:start w:val="1"/>
      <w:numFmt w:val="lowerRoman"/>
      <w:lvlText w:val="%9."/>
      <w:lvlJc w:val="right"/>
      <w:pPr>
        <w:ind w:left="7397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pLTQxBec3dlSJsxviHRxFv4aZA==">CgMxLjAyDmguOWZ3MHZpdnZ2YmU5OAByITEtU2kwMmFPb2gwbjFqYndsb3h2cmd2TnNOZGlqaW1QOQ==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2026-02-04T07:32:00Z</dcterms:created>
  <dc:creator>User</dc:creator>
</cp:coreProperties>
</file>