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утв. решением Совета Союза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протокол № 1  от 03.02.2026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Председатель Совета Союза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Жарков Вячеслав Николаевич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ПОЛОЖЕНИЕ О КОНКУРСНОЙ КОМИССИИ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СРО СОЮЗ АРБИТРАЖНЫХ УПРАВЛЯЮЩИХ «ПРОРЕШЕНИЯ»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Общие положения</w:t>
      </w:r>
    </w:p>
    <w:p w:rsidR="00000000" w:rsidDel="00000000" w:rsidP="00000000" w:rsidRDefault="00000000" w:rsidRPr="00000000" w14:paraId="0000000D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Настоящее Положение о Конкурсной комиссии Союза «Саморегулируемая организация арбитражных управляющих «ПроРешения» (далее - Положение) разработано в соответствии с Федеральным законом от 01.12.2007 г. № 315-ФЗ «О саморегулируемых организациях», Федеральным законом от 26.10.2002 г. № 127-ФЗ «О несостоятельности (банкротстве)», определяет правила проведения процедуры выбора кандидатуры арбитражного управляющего, включая критерии выбора, устанавливает критерии определения компетентности, добросовестности и независимости арбитражного управляющего, регламентирует структуру, компетенцию, правила, порядок формирования и деятельности Конкурсной комиссии Союза «Саморегулируемая организация арбитражных управляющих «ПроРешения» (далее – Союз, саморегулируемая организация).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Конкурсная комиссия является специализированным органом по отбору кандидатур арбитражных управляющих из числа членов Союза для представления арбитражным судам в целях утверждения их в деле о банкротстве, а также по проведению аккредитации лиц, обеспечивающих проведение процедур банкротства (страховых организаций, реестродержателей, оценщиков, аудиторов, организаторов торгов, электронных торговых площадок, юристов и иных лиц).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Состав и порядок формирования Конкурсной комиссии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Персональный состав Конкурсной комиссии утверждается решением Советом Союза. Конкурсная комиссия избирается сроком на 3 (три) года.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Конкурсная комиссия формируется в составе 3 (трех) человек, а именно: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Председатель Конкурсной комиссии;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члены Конкурсной комиссии, которые могут являться штатными сотрудниками Союза, членами Союза, а также третьими лицами, не входящими в структуру управления Союза.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Полномочия Конкурсной комиссии прежнего созыва прекращаются после утверждения Советом Союза нового состава Конкурсной комиссии. Полномочия каждого члена Конкурсной комиссии могут быть прекращены в любое время Советом Союза.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Член Конкурсной комиссии может переизбираться неограниченное количество раз.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Член Конкурсной комиссии вправе по своей инициативе выйти из ее состава в любое время, письменно известив об этом председателя Совета Союза и Председателя Конкурсной комиссии.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Исполнение обязанностей члена Конкурсной комиссии является добровольным, персональным и безвозмездным.</w:t>
      </w:r>
    </w:p>
    <w:p w:rsidR="00000000" w:rsidDel="00000000" w:rsidP="00000000" w:rsidRDefault="00000000" w:rsidRPr="00000000" w14:paraId="0000001B">
      <w:pPr>
        <w:tabs>
          <w:tab w:val="left" w:leader="none" w:pos="127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27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Основные цели, задачи и функции Конкурсной комиссии</w:t>
      </w:r>
    </w:p>
    <w:p w:rsidR="00000000" w:rsidDel="00000000" w:rsidP="00000000" w:rsidRDefault="00000000" w:rsidRPr="00000000" w14:paraId="0000001D">
      <w:pPr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Конкурсная комиссия на коллегиальной основе осуществляет следующие функции: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по выбору кандидатур арбитражных управляющих из числа членов Союза для представления арбитражным судам в целях утверждения их в деле о банкротстве;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по определению наличия у кандидатуры арбитражного управляющего достаточной компетентности, добросовестности и независимости;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по проведению аккредитации лиц, обеспечивающих проведение процедур банкротства (страховых организаций, реестродержателей, оценщиков, аудиторов, организаторов торгов, электронных торговых площадок, юристов и иных лиц).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Председатель Конкурсной комиссии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Председатель возглавляет Конкурсную комиссию.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Председатель Конкурсной комиссии: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организует текущую деятельность Конкурсной комиссии;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созывает заседания Конкурсной комиссии, председательствует на них;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представляет Конкурсную комиссию в Совете Союза и в других органах Союза;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обеспечивает ведение документации, отражающей работу Конкурсной комиссии.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Порядок проведения отбора кандидатур арбитражных управляющих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Конкурсная комиссия осуществляет выбор кандидатуры арбитражного управляющего из числа арбитражных управляющих – членов Союза, представивших к дате заседания Конкурсной комиссии письменного заявления о согласии быть утвержденными в качестве арбитражного управляющего в деле о банкротстве по утвержденной форме (Приложение №1 к настоящему Положению), для направления в арбитражный суд и иным лицам, участвующим в деле о банкротстве, в целях утверждения его в деле о банкротстве. Данное заявление должно быть направлено в течение 24 часов, с момента получения запроса Конкурсной комиссии, по электронной почте или любым другим способом, обеспечивающим доставку в установленный срок.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Председатель Конкурсной комиссии, получив протокол собрания кредиторов, судебный акт, запрос о представлении кандидатуры арбитражного управляющего для утверждения в деле о банкротстве или ходатайство об отстранении или освобождении арбитражного управляющего от исполнения возложенных на него обязанностей в деле о банкротстве, проводит посредством любых возможных средств связи (опубликование сообщения на сайте Союза, электронной почты, телефоном, факсом, а также иными средствами связи) опрос членов Союза в целях получения заявления – согласия.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 целях проведения отбора члены Конкурсной комиссии вправе знакомиться с личными делами арбитражных управляющих – членов Союза, а также запрашивать у них необходимые дополнительные документы и объяснения.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При поступлении сведений о необходимости представления кандидатуры арбитражного управляющего в рамках конкретного дела о банкротстве, Конкурсная комиссия оповещает об этом всех заинтересованных лиц, в соответствии с пунктом 5.2 настоящего Положения. К сведениям также включаются требования к кандидатуре членов Союза, которые были установлены в соответствии с действующим законодательством. Такими требованиями могут являться: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наличие высшего юридического или экономического образования либо образования по специальности, соответствующей сфере деятельности должника;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наличие определенного стажа работы на должностях руководителей организаций в соответствующей отрасли экономики;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проведение в качестве арбитражного управляющего определенного количества процедур, применяемых в деле о банкротстве;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наличие соответствующей формы допуска к сведениям, составляющим государственную тайну;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наличие специальных требований, установленных к кандидатурам арбитражных управляющих в делах о банкротстве отдельных категорий должников, указанных в главе IX Закона о банкротстве.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При проверке соответствия кандидатуры для утверждения его в процедуре банкротства юридического лица Комиссия дополнительно устанавливает факт подтверждения таким арбитражным управляющим достаточного обеспечения своей имущественной ответственности по каждой конкретной процедуре банкротства юридического лица.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 К таким сведениям относятся достоверные: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 сведения о личных имущественных правах арбитражного управляющего;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 сведения о поручительстве третьих лиц в целях обеспечения личной имущественной ответственности арбитражного управляющего перед членами Союза;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 сведения об обеспечении личной имущественной ответственности посредством открытия арбитражным управляющим безотзывного аккредитива или внесения в компенсационный фонд дополнительного взноса в размере 50% от размера компенсационного фонда;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  <w:rtl w:val="0"/>
        </w:rPr>
        <w:t xml:space="preserve"> иные сведения, представленные арбитражным управляющим в целях подтверждения достаточного обеспечения своей имущественной ответственности при утверждении его в процедуре банкротства юридического лица.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Конкурсной комиссией не могут быть выбраны для представления в арбитражный суд кандидатуры следующих членов Союза для утверждения их в делах о банкротстве: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заинтересованные лица по отношению к должнику, кредиторам;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лица, полностью не возместившие убытки, причиненные должнику, кредиторам или иным лицам в результате неисполнения или ненадлежащего исполнения возложенных на арбитражного управляющего обязанностей в ранее проведенных процедурах, применяемых в деле о банкротстве, и факт причинения которых установлен вступившим в законную силу решением суда;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лица, в отношении которых введены процедуры, применяемые в деле о банкротстве;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лица, дисквалифицированные или лишенные в порядке, установленном федеральным законом, права занимать руководящие должности и (или) осуществлять профессиональную деятельность, регулируемую в соответствии с федеральными законами;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лица, которые не имеют заключенных договоров страхования ответственности на случай причинения убытков лицам, участвующим в деле о банкротстве;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лица, которые не имеют допуска к государственной тайне установленной формы, если наличие такого допуска является обязательным условием утверждения арбитражным судом арбитражного управляющего;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лица, в отношении которых имеется вступивший в законную силу судебный акт об отстранении от исполнения обязанностей арбитражного управляющего в связи с неисполнением или ненадлежащим исполнением обязанностей, которые повлекли за собой убытки должника или его кредиторов в процедурах, применяемых в деле о банкротстве, если до даты, предшествующей дате представления в суд кандидатуры арбитражного управляющего, не истек один год с момента вступления в законную силу последнего судебного акта по спору о таком отстранении, за исключением случаев,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указанного судебного акта;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лица, у которых имеется задолженность по уплате взносов, установленных Союзом;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лица, у которых имеется задолженность по уплате дисциплинарных штрафов, наложенных в ходе привлечения к дисциплинарной ответственности;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лица, у которых имеются нарушения требований внутренних документов Союза о порядке предоставления членами Союза отчетности по проводимым процедурам банкротства;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лица, у которых имеются нарушения требований внутренних документов Союза в виде привлечения не аккредитованных организаций при проведении процедур банкротства.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Конкурсная комиссия вправе не учитывать при проведении отбора кандидатуры арбитражных управляющих – членов Союза, не соответствующих требованиям пунктов 5.4, 5.5 настоящего Положения.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Конкурсная комиссия при проведении отбора кандидатуры арбитражного управляющего из числа членов Союза, изъявивших согласие быть утвержденными арбитражным судом в качестве арбитражного управляющего, руководствуется следующими критериями: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наличие письменного заявления кандидата – члена Союза на утверждение арбитражным управляющим в деле о банкротстве;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соответствие кандидата требованиям статьи 20 и 20.2 Закона о банкротстве;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соответствие кандидата требованиям, содержащимся в запросе о предоставлении кандидатуры арбитражного управляющего;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наличие жалоб на действия арбитражного управляющего и результаты их рассмотрения, привлечение арбитражного управляющего к дисциплинарной и (или) административной ответственности;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количество проводимых арбитражным управляющим процедур банкротства и сроки их завершения (распределение нагрузки);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стаж работы в качестве арбитражного управляющего;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отсутствие нарушений внутренних документов Союза о порядке предоставления членами Союза отчетности по проводимым процедурам банкротства;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отсутствие нарушений внутренних документов Союза в части требования о привлечении аккредитованных организаций при осуществлении профессиональной деятельности в качестве арбитражного управляющего во всех из проводимых или завершенных процедур банкротства;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наличие стажа руководящей работы, в том числе в качестве арбитражного управляющего, на предприятиях, сфера деятельности которых соответствует сфере деятельности должника;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отсутствие задолженности у арбитражного управляющего по оплате взносов;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отсутствие негативной информации в отношении кандидата, свидетельствующих о возможности возникновения репутационных рисков Союза;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 исключительных случаях учитывается рекомендация Председателя Контрольной комиссии.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Председатель организует заседание Конкурсной комиссии, на котором проверяется соответствие кандидатуры требованиям, установленными Законом о банкротстве и внутренними документами Союза, и принимается окончательное решение о представлении информации о соответствии (либо несоответствии) кандидатуры указанным требованиям в арбитражный суд, должнику и заявителю.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Конкурсная комиссия обеспечивает свободный доступ заинтересованных лиц к проведению процедуры выбора кандидатуры арбитражного управляющего из числа членов Союза.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Члены Конкурсной комиссии извещаются о заседании на следующий день после поступления в Союз документов, указанных в пункте 5.2 настоящего Положения. В случае необходимости заседание может быть проведено без соблюдения указанного срока.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Решения Конкурсной комиссии принимаются простым большинством голосов.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Решения, принятые на заседаниях Конкурсной комиссии, оформляются протоколом в письменной форме, который подписывается всеми членами Конкурсной комиссии, присутствующими на заседании.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 протоколе заседания указываются: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дата и место проведения;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лица, присутствующие на заседании;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повестка дня заседания;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вопросы, поставленные на голосование, итоги голосования;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принятые решения;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иные необходимые сведения.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Председатель Конкурсной Комиссии не позднее 9 (девяти) дней с даты получения сведений о необходимости представления кандидатуры арбитражного управляющего в рамках конкретного дела о банкротстве, обеспечивает направление представления кандидатуры, содержащего сведения о профессиональных качествах арбитражных управляющих и информацию об их соответствии требованиям к кандидатуре арбитражного управляющего, в арбитражный суд, заявителю (собранию кредиторов или представителю собрания кредиторов) и должнику, способом, обеспечивающим доставку в течение 5 дней с даты направления, либо представляет кандидатуру арбитражного управляющего, а также при необходимости информацию о наличии допуска арбитражного управляющего к государственной тайне.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Арбитражный управляющий – член Союза, который предоставил согласие на утверждение в деле о банкротстве, самостоятельно отслеживает дату и информацию о его утверждении (не утверждении) в деле о банкротстве.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 случае, если до рассмотрения арбитражным судом вопроса по утверждению предоставленной кандидатуры изменились намерение или готовность по утверждению в дело о банкротстве (в том числе, в связи с появлением ограничений на утверждение в деле о банкротстве), арбитражный управляющий – член Союза обязан незамедлительно уведомить об этом Конкурсную комиссию.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Заседания Конкурсной комиссии проводятся по мере необходимости решения вопросов, относящихся к его компетенции.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Заседания Конкурсной комиссии могут проводиться очно или заочно, с использованием телефонной, селекторной, конференцсвязи или сети Интернет.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Настоящее Положение вступает в силу с момента утверждения Советом Союза.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Изменения и дополнения к настоящему Положению вступают в силу после их утверждения Советом Союза.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  <w:sectPr>
          <w:footerReference r:id="rId7" w:type="default"/>
          <w:footerReference r:id="rId8" w:type="first"/>
          <w:pgSz w:h="16838" w:w="11906" w:orient="portrait"/>
          <w:pgMar w:bottom="851" w:top="709" w:left="1276" w:right="850" w:header="708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382"/>
        <w:gridCol w:w="4388"/>
        <w:tblGridChange w:id="0">
          <w:tblGrid>
            <w:gridCol w:w="5382"/>
            <w:gridCol w:w="438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F">
            <w:pPr>
              <w:jc w:val="right"/>
              <w:rPr>
                <w:rFonts w:ascii="Times New Roman" w:cs="Times New Roman" w:eastAsia="Times New Roman" w:hAnsi="Times New Roman"/>
                <w:i w:val="1"/>
                <w:iCs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3"/>
                <w:szCs w:val="23"/>
                <w:rtl w:val="0"/>
              </w:rPr>
              <w:t xml:space="preserve">ПРИЛОЖЕНИЕ №1</w:t>
            </w:r>
          </w:p>
          <w:p w:rsidR="00000000" w:rsidDel="00000000" w:rsidP="00000000" w:rsidRDefault="00000000" w:rsidRPr="00000000" w14:paraId="00000070">
            <w:pPr>
              <w:jc w:val="right"/>
              <w:rPr>
                <w:rFonts w:ascii="Times New Roman" w:cs="Times New Roman" w:eastAsia="Times New Roman" w:hAnsi="Times New Roman"/>
                <w:i w:val="1"/>
                <w:iCs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3"/>
                <w:szCs w:val="23"/>
                <w:rtl w:val="0"/>
              </w:rPr>
              <w:t xml:space="preserve">к Положению о Конкурсной комиссии</w:t>
            </w:r>
          </w:p>
          <w:p w:rsidR="00000000" w:rsidDel="00000000" w:rsidP="00000000" w:rsidRDefault="00000000" w:rsidRPr="00000000" w14:paraId="00000071">
            <w:pPr>
              <w:jc w:val="right"/>
              <w:rPr>
                <w:rFonts w:ascii="Times New Roman" w:cs="Times New Roman" w:eastAsia="Times New Roman" w:hAnsi="Times New Roman"/>
                <w:i w:val="1"/>
                <w:iCs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3"/>
                <w:szCs w:val="23"/>
                <w:rtl w:val="0"/>
              </w:rPr>
              <w:t xml:space="preserve">Союза арбитражных управляющих «ПроРешения»</w:t>
            </w:r>
          </w:p>
          <w:p w:rsidR="00000000" w:rsidDel="00000000" w:rsidP="00000000" w:rsidRDefault="00000000" w:rsidRPr="00000000" w14:paraId="00000072">
            <w:pPr>
              <w:jc w:val="right"/>
              <w:rPr>
                <w:rFonts w:ascii="Times New Roman" w:cs="Times New Roman" w:eastAsia="Times New Roman" w:hAnsi="Times New Roman"/>
                <w:i w:val="1"/>
                <w:iCs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В Арбитражный суд 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Дело: № 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От арбитражного управляющего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Адрес для направления корреспонденции: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Заявитель по делу о банкротстве: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Адрес для направления корреспонденции: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</w:r>
          </w:p>
        </w:tc>
      </w:tr>
    </w:tbl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ЗАЯВЛЕНИЕ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Настоящим заявляю о своем согласии на назначение арбитражным управляющим в процедуре, применяемой в деле о банкротстве _____________________________________ в отношении, которого возбуждено производство по делу о несостоятельности (банкротстве).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Мне известны права, обязанности и ответственность арбитражного управляющего, предусмотренные Федеральным законом «О несостоятельности (банкротстве)».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 связи с чем заявляю о своем соответствии в нижеследующем: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при осуществлении прав и обязанностей арбитражного управляющего я буду действовать добросовестно и разумно с учетом интересов должника и его кредиторов в строгом соответствии с действующим законодательством Российской Федерации;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я обязуюсь в установленные законом сроки предоставлять собранию или комитету кредиторов, уполномоченному государственному органу и арбитражному суду отчет о своей деятельности и все сведения, касающиеся процедуры банкротства;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я не являюсь заинтересованным лицом в отношении должника и кредиторов, не осуществлял ранее управление делами должника;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не имею ограничений на осуществление деятельности по управлению делами и имуществом других лиц;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не имею судимости;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не имею административного наказания в виде дисквалификации;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не лишен права занимать определенные должности или заниматься определенной деятельности за совершение преступления;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не имею судебных актов, вступивших в законную силу о возмещении убытков, причиненных должнику, кредиторам или иным лицам в результате неисполнения или ненадлежащего исполнения возложенных на меня обязанностей в ранее проведенных процедурах, применяемых в деле о банкротстве;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не лишен в порядке, установленном федеральным законом, права занимать руководящие должности и (или) осуществлять профессиональную деятельность, регулируемую в соответствии с федеральными законами;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0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 отношении меня не проводятся процедуры, применяемые в деле о банкротстве.</w:t>
      </w:r>
    </w:p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85"/>
        <w:gridCol w:w="4885"/>
        <w:tblGridChange w:id="0">
          <w:tblGrid>
            <w:gridCol w:w="4885"/>
            <w:gridCol w:w="48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Арбитражный управляющий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righ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_______________/_______________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«____» __________ 20___ г.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righ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426" w:top="567" w:left="1276" w:right="850" w:header="283" w:footer="283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69" w:hanging="360"/>
      </w:pPr>
      <w:rPr/>
    </w:lvl>
    <w:lvl w:ilvl="2">
      <w:start w:val="1"/>
      <w:numFmt w:val="decimal"/>
      <w:lvlText w:val="%1.%2.%3."/>
      <w:lvlJc w:val="left"/>
      <w:pPr>
        <w:ind w:left="1778" w:hanging="720"/>
      </w:pPr>
      <w:rPr/>
    </w:lvl>
    <w:lvl w:ilvl="3">
      <w:start w:val="1"/>
      <w:numFmt w:val="decimal"/>
      <w:lvlText w:val="%1.%2.%3.%4."/>
      <w:lvlJc w:val="left"/>
      <w:pPr>
        <w:ind w:left="2127" w:hanging="720"/>
      </w:pPr>
      <w:rPr/>
    </w:lvl>
    <w:lvl w:ilvl="4">
      <w:start w:val="1"/>
      <w:numFmt w:val="decimal"/>
      <w:lvlText w:val="%1.%2.%3.%4.%5."/>
      <w:lvlJc w:val="left"/>
      <w:pPr>
        <w:ind w:left="2836" w:hanging="1079.9999999999998"/>
      </w:pPr>
      <w:rPr/>
    </w:lvl>
    <w:lvl w:ilvl="5">
      <w:start w:val="1"/>
      <w:numFmt w:val="decimal"/>
      <w:lvlText w:val="%1.%2.%3.%4.%5.%6."/>
      <w:lvlJc w:val="left"/>
      <w:pPr>
        <w:ind w:left="3185" w:hanging="1080"/>
      </w:pPr>
      <w:rPr/>
    </w:lvl>
    <w:lvl w:ilvl="6">
      <w:start w:val="1"/>
      <w:numFmt w:val="decimal"/>
      <w:lvlText w:val="%1.%2.%3.%4.%5.%6.%7."/>
      <w:lvlJc w:val="left"/>
      <w:pPr>
        <w:ind w:left="3894" w:hanging="1440"/>
      </w:pPr>
      <w:rPr/>
    </w:lvl>
    <w:lvl w:ilvl="7">
      <w:start w:val="1"/>
      <w:numFmt w:val="decimal"/>
      <w:lvlText w:val="%1.%2.%3.%4.%5.%6.%7.%8."/>
      <w:lvlJc w:val="left"/>
      <w:pPr>
        <w:ind w:left="4243" w:hanging="1440"/>
      </w:pPr>
      <w:rPr/>
    </w:lvl>
    <w:lvl w:ilvl="8">
      <w:start w:val="1"/>
      <w:numFmt w:val="decimal"/>
      <w:lvlText w:val="%1.%2.%3.%4.%5.%6.%7.%8.%9."/>
      <w:lvlJc w:val="left"/>
      <w:pPr>
        <w:ind w:left="4952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2.%1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72617C"/>
    <w:pPr>
      <w:ind w:left="720"/>
      <w:contextualSpacing w:val="1"/>
    </w:pPr>
  </w:style>
  <w:style w:type="paragraph" w:styleId="a4">
    <w:name w:val="header"/>
    <w:basedOn w:val="a"/>
    <w:link w:val="a5"/>
    <w:uiPriority w:val="99"/>
    <w:unhideWhenUsed w:val="1"/>
    <w:rsid w:val="00942223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942223"/>
  </w:style>
  <w:style w:type="paragraph" w:styleId="a6">
    <w:name w:val="footer"/>
    <w:basedOn w:val="a"/>
    <w:link w:val="a7"/>
    <w:uiPriority w:val="99"/>
    <w:unhideWhenUsed w:val="1"/>
    <w:rsid w:val="00942223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942223"/>
  </w:style>
  <w:style w:type="character" w:styleId="a8">
    <w:name w:val="annotation reference"/>
    <w:basedOn w:val="a0"/>
    <w:uiPriority w:val="99"/>
    <w:semiHidden w:val="1"/>
    <w:unhideWhenUsed w:val="1"/>
    <w:rsid w:val="00EC1435"/>
    <w:rPr>
      <w:sz w:val="16"/>
      <w:szCs w:val="16"/>
    </w:rPr>
  </w:style>
  <w:style w:type="paragraph" w:styleId="a9">
    <w:name w:val="annotation text"/>
    <w:basedOn w:val="a"/>
    <w:link w:val="aa"/>
    <w:uiPriority w:val="99"/>
    <w:semiHidden w:val="1"/>
    <w:unhideWhenUsed w:val="1"/>
    <w:rsid w:val="00EC1435"/>
    <w:pPr>
      <w:spacing w:line="240" w:lineRule="auto"/>
    </w:pPr>
    <w:rPr>
      <w:sz w:val="20"/>
      <w:szCs w:val="20"/>
    </w:rPr>
  </w:style>
  <w:style w:type="character" w:styleId="aa" w:customStyle="1">
    <w:name w:val="Текст примечания Знак"/>
    <w:basedOn w:val="a0"/>
    <w:link w:val="a9"/>
    <w:uiPriority w:val="99"/>
    <w:semiHidden w:val="1"/>
    <w:rsid w:val="00EC143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 w:val="1"/>
    <w:unhideWhenUsed w:val="1"/>
    <w:rsid w:val="00EC1435"/>
    <w:rPr>
      <w:b w:val="1"/>
      <w:bCs w:val="1"/>
    </w:rPr>
  </w:style>
  <w:style w:type="character" w:styleId="ac" w:customStyle="1">
    <w:name w:val="Тема примечания Знак"/>
    <w:basedOn w:val="aa"/>
    <w:link w:val="ab"/>
    <w:uiPriority w:val="99"/>
    <w:semiHidden w:val="1"/>
    <w:rsid w:val="00EC1435"/>
    <w:rPr>
      <w:b w:val="1"/>
      <w:bCs w:val="1"/>
      <w:sz w:val="20"/>
      <w:szCs w:val="20"/>
    </w:rPr>
  </w:style>
  <w:style w:type="paragraph" w:styleId="ad">
    <w:name w:val="Balloon Text"/>
    <w:basedOn w:val="a"/>
    <w:link w:val="ae"/>
    <w:uiPriority w:val="99"/>
    <w:semiHidden w:val="1"/>
    <w:unhideWhenUsed w:val="1"/>
    <w:rsid w:val="00EC143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e" w:customStyle="1">
    <w:name w:val="Текст выноски Знак"/>
    <w:basedOn w:val="a0"/>
    <w:link w:val="ad"/>
    <w:uiPriority w:val="99"/>
    <w:semiHidden w:val="1"/>
    <w:rsid w:val="00EC1435"/>
    <w:rPr>
      <w:rFonts w:ascii="Segoe UI" w:cs="Segoe UI" w:hAnsi="Segoe UI"/>
      <w:sz w:val="18"/>
      <w:szCs w:val="18"/>
    </w:rPr>
  </w:style>
  <w:style w:type="paragraph" w:styleId="af">
    <w:name w:val="Normal (Web)"/>
    <w:basedOn w:val="a"/>
    <w:uiPriority w:val="99"/>
    <w:unhideWhenUsed w:val="1"/>
    <w:rsid w:val="003227D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 w:val="1"/>
    <w:rsid w:val="003227D2"/>
    <w:rPr>
      <w:b w:val="1"/>
      <w:bCs w:val="1"/>
    </w:rPr>
  </w:style>
  <w:style w:type="table" w:styleId="af1">
    <w:name w:val="Table Grid"/>
    <w:basedOn w:val="a1"/>
    <w:uiPriority w:val="39"/>
    <w:rsid w:val="006C6FD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RosQa7qRTz5oY8yB3ts4VxBrDw==">CgMxLjA4AHIhMUhFUmNWTFBzTGhGZE43MVNaVHZ1MG9la3FMVlRvcnkw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2026-02-04T07:45:00Z</dcterms:created>
  <dc:creator>User</dc:creator>
</cp:coreProperties>
</file>