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утв. решением Совета Союза</w:t>
      </w:r>
    </w:p>
    <w:p w:rsidR="00000000" w:rsidDel="00000000" w:rsidP="00000000" w:rsidRDefault="00000000" w:rsidRPr="00000000" w14:paraId="00000002">
      <w:pPr>
        <w:spacing w:after="0" w:line="240" w:lineRule="auto"/>
        <w:jc w:val="right"/>
        <w:rPr/>
      </w:pPr>
      <w:r w:rsidDel="00000000" w:rsidR="00000000" w:rsidRPr="00000000">
        <w:rPr>
          <w:rFonts w:ascii="Times New Roman" w:cs="Times New Roman" w:eastAsia="Times New Roman" w:hAnsi="Times New Roman"/>
          <w:sz w:val="23"/>
          <w:szCs w:val="23"/>
          <w:rtl w:val="0"/>
        </w:rPr>
        <w:t xml:space="preserve">протокол № 1  от 03.02.2026</w:t>
      </w: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4">
      <w:pPr>
        <w:spacing w:after="0" w:line="24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Председатель Совета Союза</w:t>
      </w:r>
    </w:p>
    <w:p w:rsidR="00000000" w:rsidDel="00000000" w:rsidP="00000000" w:rsidRDefault="00000000" w:rsidRPr="00000000" w14:paraId="00000005">
      <w:pPr>
        <w:spacing w:after="0" w:line="24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Жарков Вячеслав Николаевич</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ПОЛОЖЕНИЕ О КОНТРОЛЬНОЙ КОМИССИИ</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СРО СОЮЗ АРБИТРАЖНЫХ УПРАВЛЯЮЩИХ «ПРОРЕШЕНИЯ»</w:t>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Общие положения</w:t>
      </w:r>
    </w:p>
    <w:p w:rsidR="00000000" w:rsidDel="00000000" w:rsidP="00000000" w:rsidRDefault="00000000" w:rsidRPr="00000000" w14:paraId="0000000D">
      <w:pPr>
        <w:spacing w:after="0" w:line="240" w:lineRule="auto"/>
        <w:ind w:firstLine="709"/>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о Контрольной комиссии Союза «Саморегулируемая организация арбитражных управляющих «ПроРешения» (далее - Положение) разработано в соответствии с Федеральным законом от 01.12.2007 г. № 315-ФЗ «О саморегулируемых организациях», Федеральным законом от 26.10.2002 г. № 127-ФЗ «О несостоятельности (банкротстве)», других федеральных законов, Федеральным стандартом деятельности саморегулируемых организаций арбитражных управляющих «Правила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утвержденных Приказом Минэкономразвития РФ от 03.07.2015 г. № 432, а также Уставом Союза «Саморегулируемая организация арбитражных управляющих «ПроРешения» (далее – Союз, саморегулируемая организация).</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Контрольная комиссия является специализированным органом Союза, который путем проведения плановых и внеплановых проверок осуществляет контроль за соблюдением арбитражными управляющими (членами Союза)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деловой этики арбитражных управляющих.</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устанавливает порядок проведения Союзом проверок профессиональной деятельности своих членов в части соблюдения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Союза (далее – проверка профессиональной деятельности).</w:t>
      </w:r>
    </w:p>
    <w:p w:rsidR="00000000" w:rsidDel="00000000" w:rsidP="00000000" w:rsidRDefault="00000000" w:rsidRPr="00000000" w14:paraId="00000011">
      <w:pPr>
        <w:tabs>
          <w:tab w:val="left" w:leader="none" w:pos="1276"/>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Состав и порядок формирования Контрольной комиссии</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426"/>
        </w:tabs>
        <w:spacing w:after="0" w:line="240" w:lineRule="auto"/>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Персональный состав Контрольной комиссии утверждается решением Советом Союза. Контрольная комиссия избирается сроком на 3 (три) года.</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Контрольная комиссия формируется в составе 3 (трех) человек, а именно: </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Председатель Контрольной комиссии;</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члены Контрольной комиссии, которые могут являться штатными сотрудниками Союза, членами Союза, а также третьими лицами, не входящими в структуру управления Союза.</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Полномочия Контрольной комиссии прежнего созыва прекращаются после утверждения Советом Союза нового состава Контрольной комиссии. Полномочия каждого члена Контрольной комиссии могут быть прекращены в любое время Советом Союза.</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Член Контрольной комиссии может переизбираться неограниченное количество раз.</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Исполнение обязанностей члена Контрольной комиссии является добровольным, персональным и безвозмездным.</w:t>
      </w:r>
    </w:p>
    <w:p w:rsidR="00000000" w:rsidDel="00000000" w:rsidP="00000000" w:rsidRDefault="00000000" w:rsidRPr="00000000" w14:paraId="0000001B">
      <w:pPr>
        <w:tabs>
          <w:tab w:val="left" w:leader="none" w:pos="1276"/>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Основные цели, задачи и функции Контрольной комиссии</w:t>
      </w:r>
    </w:p>
    <w:p w:rsidR="00000000" w:rsidDel="00000000" w:rsidP="00000000" w:rsidRDefault="00000000" w:rsidRPr="00000000" w14:paraId="0000001D">
      <w:pPr>
        <w:tabs>
          <w:tab w:val="left" w:leader="none" w:pos="1276"/>
        </w:tabs>
        <w:spacing w:after="0" w:line="240" w:lineRule="auto"/>
        <w:ind w:firstLine="709"/>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Проверка профессиональной деятельности осуществляется в форме </w:t>
      </w:r>
      <w:r w:rsidDel="00000000" w:rsidR="00000000" w:rsidRPr="00000000">
        <w:rPr>
          <w:rFonts w:ascii="Times New Roman" w:cs="Times New Roman" w:eastAsia="Times New Roman" w:hAnsi="Times New Roman"/>
          <w:b w:val="1"/>
          <w:bCs w:val="1"/>
          <w:color w:val="000000"/>
          <w:sz w:val="23"/>
          <w:szCs w:val="23"/>
          <w:rtl w:val="0"/>
        </w:rPr>
        <w:t xml:space="preserve">плановых и внеплановых проверок</w:t>
      </w:r>
      <w:r w:rsidDel="00000000" w:rsidR="00000000" w:rsidRPr="00000000">
        <w:rPr>
          <w:rFonts w:ascii="Times New Roman" w:cs="Times New Roman" w:eastAsia="Times New Roman" w:hAnsi="Times New Roman"/>
          <w:color w:val="000000"/>
          <w:sz w:val="23"/>
          <w:szCs w:val="23"/>
          <w:rtl w:val="0"/>
        </w:rPr>
        <w:t xml:space="preserve"> и является основным методом контроля и анализа профессиональной деятельности членов Союза.</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рамках проведения проверок профессиональной деятельности Председатель Контрольной комиссии и члены комиссии вправе запрашивать у арбитражного управляющего документы и материалы, содержащие сведения об исполнении им требований законодательства Российской Федерации, обязанностей арбитражного управляющего при проведении процедур, применяемых в деле о банкротстве, федеральных стандартов, стандартов и правил профессиональной деятельности саморегулируемой организации, а также иные сведения, необходимые для рассмотрения дела по существу. </w:t>
      </w:r>
    </w:p>
    <w:p w:rsidR="00000000" w:rsidDel="00000000" w:rsidP="00000000" w:rsidRDefault="00000000" w:rsidRPr="00000000" w14:paraId="00000020">
      <w:pPr>
        <w:spacing w:after="0" w:line="240" w:lineRule="auto"/>
        <w:ind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Запрос может быть направлен арбитражному управляющему по адресу электронной почты, согласованному арбитражным управляющим с Союзом, или иным способом, обеспечивающим его доставку в течение 5 рабочих дней с даты его направления.</w:t>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Арбитражный управляющий обязан представить указанные в запросе документы и материалы в сроки и порядке, указанные в запросе. </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Проверка профессиональной деятельности может проводиться также в отношении фактов, действий и бездействия члена Союза в тех делах о банкротстве, в которых он исполнял свои обязанности до вступления в Союз. В этом случае Союз вправе направить в саморегулируемую организацию арбитражных управляющих, членом которой арбитражный управляющий ранее являлся, запрос о предоставлении сведений и документов, необходимых для проведения проверки.</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Союз при проведении проверок профессиональной деятельности арбитражного управляющего в процедурах, в которых он исполнял обязанности в деле о банкротстве, являясь членом другой саморегулируемой организации, вправе направить в саморегулируемую организацию, членом которой он являлся, запрос о представлении документов и материалов, содержащих сведения, связанные с предметом проверки.</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Союз в течение 10 рабочих дней с даты получения запроса направляет в адрес запрашивающей саморегулируемой организации имеющиеся у нее документы и материалы, содержащие сведения, связанные с предметом контроля бывшего члена саморегулируемой организации, способом, обеспечивающим их доставку в течение 5 рабочих дней с даты направления.</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Председатель Контрольной комиссии</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426"/>
        </w:tabs>
        <w:spacing w:after="0" w:line="240" w:lineRule="auto"/>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Председатель возглавляет Контрольную комиссию.</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Председатель Контрольной комиссии:</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tabs>
          <w:tab w:val="left" w:leader="none" w:pos="1418"/>
        </w:tabs>
        <w:spacing w:after="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организует текущую деятельность Контрольной комиссии;</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tabs>
          <w:tab w:val="left" w:leader="none" w:pos="1418"/>
        </w:tabs>
        <w:spacing w:after="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составляет ежегодные графики плановых проверок деятельности членов Союза;</w:t>
      </w:r>
      <w:r w:rsidDel="00000000" w:rsidR="00000000" w:rsidRPr="00000000">
        <w:rPr>
          <w:rtl w:val="0"/>
        </w:rPr>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организует проведение плановых и внеплановых проверок;</w:t>
      </w: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рассматривает поступающие жалобы (обращения) на действия (бездействия) членов Союза и принимает решения о назначении или отказе в назначении проведения внеплановых проверок;</w:t>
      </w: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tabs>
          <w:tab w:val="left" w:leader="none" w:pos="1418"/>
        </w:tabs>
        <w:spacing w:after="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созывает заседания Контрольной комиссии, председательствует на них;</w:t>
      </w: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рассматривает акты проверок, подготовленные комиссией, в случае необходимости отправляет их на доработку;</w:t>
      </w:r>
      <w:r w:rsidDel="00000000" w:rsidR="00000000" w:rsidRPr="00000000">
        <w:rPr>
          <w:rtl w:val="0"/>
        </w:rPr>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представляет Контрольную комиссию в Совете Союза и в других органах Союза;</w:t>
      </w: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обеспечивает ведение документации, отражающей работу Комиссии по контролю.</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Плановые проверки</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Предметом проведения плановых проверок профессиональной деятельности членов саморегулируемой организации является проверка соблюдения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в период членства в саморегулируемой организации, осуществляющей проверку.</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При проведении плановой проверки Контрольная комиссия проводит анализ деятельности арбитражного управляющего за проверяемый период на основании информации, которую он представлял в саморегулируемую организацию в форме отчетов.</w:t>
      </w:r>
    </w:p>
    <w:p w:rsidR="00000000" w:rsidDel="00000000" w:rsidP="00000000" w:rsidRDefault="00000000" w:rsidRPr="00000000" w14:paraId="00000037">
      <w:pPr>
        <w:tabs>
          <w:tab w:val="left" w:leader="none" w:pos="1418"/>
        </w:tabs>
        <w:spacing w:after="0" w:line="240" w:lineRule="auto"/>
        <w:ind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Анализу подлежат также иные материалы и сведения, имеющиеся в распоряжении саморегулируемой организации на дату начала проверки или запрошенные у арбитражного управляющего дополнительно, а также размещенные в официальном издании, предусмотренном Законом о банкротстве, в Едином федеральном реестре сведений о банкротстве и на сайте «Федеральные арбитражные суды Российской Федерации» в информационно-телекоммуникационной сети «Интернет» (http://www.arbitr.ru).</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Плановые проверки проводятся не реже одного раза в три года и не чаще одного раза в год</w:t>
      </w:r>
      <w:r w:rsidDel="00000000" w:rsidR="00000000" w:rsidRPr="00000000">
        <w:rPr>
          <w:rFonts w:ascii="Times New Roman" w:cs="Times New Roman" w:eastAsia="Times New Roman" w:hAnsi="Times New Roman"/>
          <w:color w:val="000000"/>
          <w:sz w:val="23"/>
          <w:szCs w:val="23"/>
          <w:rtl w:val="0"/>
        </w:rPr>
        <w:t xml:space="preserve">. Плановая проверка в отношении вновь принятого члена саморегулируемой организации проводится не ранее чем через год с даты включения сведений об арбитражном управляющем в реестр членов саморегулируемой организации.</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Основанием для проведения плановой проверки является решение Президента Союза о проведении плановой проверки.</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Плановая проверка проводится в соответствии с графиком плановых проверок профессиональной деятельности членов саморегулируемой, организации (далее - график плановых проверок), который утверждается Президентом Союза.</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График плановых проверок должен содержать следующую информацию:</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номер, дату, наименование документа, которым утвержден такой график;</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фамилии, имена, отчества (последнее - при наличии) арбитражных управляющих, деятельность которых подлежит проверке в соответствии с графиком плановых проверок;</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сроки проведения проверки в отношении каждого арбитражного управляющего и период его деятельности, подлежащий проверке.</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Основанием для включения арбитражного управляющего в график плановых проверок является истечение установленного пунктом 5.3 настоящего Положения срока проведения плановой проверки.</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Продолжительность плановой проверки не может превышать 30 рабочих дней. По решению Президента Союза срок проверки может быть продлен не более чем на 30 рабочих дней.</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Арбитражный управляющий должен быть уведомлен о проведении плановой проверки не менее чем за три рабочих дня до даты начала проведения в отношении него плановой проверки с указанием основания и сроков ее проведения, наименования должника, процедуры, применяемой в деле о банкротстве, а также периода его деятельности, который подлежит проверке. Такое уведомление направляется арбитражному управляющему по адресу электронной почты или иным способом, обеспечивающим доставку в течение 5 рабочих дней с даты направления.</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 результатам проведения проверки составляется Акт плановой проверки.</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Акт плановой проверки составляется в двух экземплярах и подписывается Председателем и членами Контрольной комиссии в день составления. </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Арбитражный управляющий при несогласии с изложенными в Акте плановой проверки выводами о наличии фактов нарушения им требований Закона о банкротстве, иных федеральных законов,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организацией вправе в течение 15 рабочих дней после получения Акта плановой проверки представить в саморегулируемую организацию мотивированное возражение.</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течение 25 рабочих дней с даты подписания акта проверки, при проведении которой были выявлены нарушения, Акт плановой проверки и возражения арбитражного управляющего (при их наличии) передаются в Дисциплинарную комиссию для рассмотрения вопроса о применении в отношении членов саморегулируемой организации мер дисциплинарного воздействия.</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течение 7 рабочих дней с даты подписания Акта плановой проверки информация о дате и результатах проведения проверки размещается на сайте саморегулируемой организации в информационно-телекоммуникационной сети «Интернет».</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Внеплановые проверки</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Основаниями для проведения внеплановой проверки являются:</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поступившие жалобы (обращения) федеральных органов государственной власти, органов государственной власти субъектов Российской Федерации или органов местного самоуправления, в которых указаны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r w:rsidDel="00000000" w:rsidR="00000000" w:rsidRPr="00000000">
        <w:rPr>
          <w:rtl w:val="0"/>
        </w:rPr>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поступившие оригиналы жалоб (обращений) или их копии из федерального органа исполнительной власти, уполномоченного Правительством Российской Федерации на осуществление функций по контролю (надзору) за деятельностью саморегулируемых организаций арбитражных управляющих (далее – орган по контролю (надзору);</w:t>
      </w:r>
      <w:r w:rsidDel="00000000" w:rsidR="00000000" w:rsidRPr="00000000">
        <w:rPr>
          <w:rtl w:val="0"/>
        </w:rPr>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поступившие оригиналы жалоб (обращений) на действия (бездействие) арбитражного управляющего, содержащие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w:t>
      </w: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обращение члена Совета Союза, члена Контрольной, Конкурсной или Дисциплинарной комиссий Союза, а также Президента Союза при выявлении фактов нарушений.</w:t>
      </w:r>
      <w:r w:rsidDel="00000000" w:rsidR="00000000" w:rsidRPr="00000000">
        <w:rPr>
          <w:rtl w:val="0"/>
        </w:rPr>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Внеплановая проверка проводится Контрольной комиссией в соответствии с решением Председателя Контрольной комиссии в срок, не превышающий 30 рабочих дней со дня поступления жалобы (обращения).</w:t>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bookmarkStart w:colFirst="0" w:colLast="0" w:name="_heading=h.bwbi59pjo3np" w:id="0"/>
      <w:bookmarkEnd w:id="0"/>
      <w:r w:rsidDel="00000000" w:rsidR="00000000" w:rsidRPr="00000000">
        <w:rPr>
          <w:rFonts w:ascii="Times New Roman" w:cs="Times New Roman" w:eastAsia="Times New Roman" w:hAnsi="Times New Roman"/>
          <w:color w:val="000000"/>
          <w:sz w:val="23"/>
          <w:szCs w:val="23"/>
          <w:rtl w:val="0"/>
        </w:rPr>
        <w:t xml:space="preserve">Основаниями для отказа в рассмотрении поступившей в адрес саморегулируемой организации жалобы (обращения) являются следующие обстоятельства:</w:t>
      </w:r>
    </w:p>
    <w:p w:rsidR="00000000" w:rsidDel="00000000" w:rsidP="00000000" w:rsidRDefault="00000000" w:rsidRPr="00000000" w14:paraId="00000051">
      <w:pPr>
        <w:numPr>
          <w:ilvl w:val="0"/>
          <w:numId w:val="7"/>
        </w:numPr>
        <w:pBdr>
          <w:top w:space="0" w:sz="0" w:val="nil"/>
          <w:left w:space="0" w:sz="0" w:val="nil"/>
          <w:bottom w:space="0" w:sz="0" w:val="nil"/>
          <w:right w:space="0" w:sz="0" w:val="nil"/>
          <w:between w:space="0" w:sz="0" w:val="nil"/>
        </w:pBdr>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жалобе (обращении) не содержатся данные заявителя;</w:t>
      </w:r>
      <w:r w:rsidDel="00000000" w:rsidR="00000000" w:rsidRPr="00000000">
        <w:rPr>
          <w:rtl w:val="0"/>
        </w:rPr>
      </w:r>
    </w:p>
    <w:p w:rsidR="00000000" w:rsidDel="00000000" w:rsidP="00000000" w:rsidRDefault="00000000" w:rsidRPr="00000000" w14:paraId="00000052">
      <w:pPr>
        <w:numPr>
          <w:ilvl w:val="0"/>
          <w:numId w:val="7"/>
        </w:numPr>
        <w:pBdr>
          <w:top w:space="0" w:sz="0" w:val="nil"/>
          <w:left w:space="0" w:sz="0" w:val="nil"/>
          <w:bottom w:space="0" w:sz="0" w:val="nil"/>
          <w:right w:space="0" w:sz="0" w:val="nil"/>
          <w:between w:space="0" w:sz="0" w:val="nil"/>
        </w:pBdr>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отсутствует указание на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r w:rsidDel="00000000" w:rsidR="00000000" w:rsidRPr="00000000">
        <w:rPr>
          <w:rtl w:val="0"/>
        </w:rPr>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жалоба (обращение) направлена в саморегулируемую организацию в процессуальном порядке (в соответствии с п. 3 ст. 125 Арбитражного процессуального кодекса Российской Федерации;</w:t>
      </w:r>
      <w:r w:rsidDel="00000000" w:rsidR="00000000" w:rsidRPr="00000000">
        <w:rPr>
          <w:rtl w:val="0"/>
        </w:rPr>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текст жалобы (обращения) не поддается прочтению;</w:t>
      </w:r>
      <w:r w:rsidDel="00000000" w:rsidR="00000000" w:rsidRPr="00000000">
        <w:rPr>
          <w:rtl w:val="0"/>
        </w:rPr>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невозможно подтвердить полномочия лица, подписавшего текст жалобы (обращения) по доверенности;</w:t>
      </w:r>
      <w:r w:rsidDel="00000000" w:rsidR="00000000" w:rsidRPr="00000000">
        <w:rPr>
          <w:rtl w:val="0"/>
        </w:rPr>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жалобе (обращении) указаны факты, по которым саморегулируемая организация ранее направляла заявителю ответ по существу, и при этом в жалобе (обращении) не приводятся новые факты, обстоятельства и доводы. В этом случае заявителю направляется ответ, содержащий сведения о результатах ранее проведенной проверки по указанным фактам;</w:t>
      </w:r>
      <w:r w:rsidDel="00000000" w:rsidR="00000000" w:rsidRPr="00000000">
        <w:rPr>
          <w:rtl w:val="0"/>
        </w:rPr>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исключение (выход) арбитражного управляющего из числа членов саморегулируемой организации на дату поступления обращения (жалобы);</w:t>
      </w:r>
      <w:r w:rsidDel="00000000" w:rsidR="00000000" w:rsidRPr="00000000">
        <w:rPr>
          <w:rtl w:val="0"/>
        </w:rPr>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процедура банкротства, на нарушения при проведении которой указывается в жалобе (обращении), завершена (прекращена) более года до даты поступления жалобы (обращения) либо арбитражный управляющий был отстранен или освобожден от исполнения обязанностей при проведении данной процедуры банкротства более года до даты поступления жалобы (обращения).</w:t>
      </w:r>
      <w:r w:rsidDel="00000000" w:rsidR="00000000" w:rsidRPr="00000000">
        <w:rPr>
          <w:rtl w:val="0"/>
        </w:rPr>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Арбитражному управляющему, в отношении которого принято решение о проведении внеплановой проверки, должно быть направлено в течение 3 рабочих дней с даты принятия такого решения, уведомление с указанием основания и срока проведения проверки, а также сроков представления в саморегулируемую организацию объяснений по фактам нарушений, указанных в жалобе (обращении), и необходимых документов для разрешения вопросов по существу. Такое уведомление направляется арбитражному управляющему по адресу электронной почты или иным способом, обеспечивающим его доставку в течение 5 рабочих дней с даты его направления.</w:t>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 результатам проведения проверки составляется Акт внеплановой проверки.</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Акт внеплановой проверки составляется в двух экземплярах и подписывается Председателем и членами Контрольной комиссии в день составления.</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Экземпляр Акта внеплановой проверки не позднее 10 рабочих дней с даты его подписания вручается арбитражному управляющему под роспись или направляется по почте заказным письмом с уведомлением. Акт внеплановой проверки также направляется по адресу электронной почты или иным способом, обеспечивающим его доставку в течение 5 рабочих дней с даты его направления.</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Арбитражный управляющий при несогласии с изложенными в Акте внеплановой проверки фактами и выводами вправе предоставить мотивированное возражение в саморегулируемую организацию в течение 15 рабочих дней с даты получения Акта внеплановой проверки.</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Союз в течение 30 дней с даты поступления оригинала жалобы (обращения) либо копии жалобы (обращения), поступившей из органа по контролю (надзору), направляет заявителю подписанный руководителем саморегулируемой организации ответ о результатах рассмотрения жалобы (обращения), содержащий обоснованные и аргументированные выводы со ссылками на нормы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течение 7 рабочих дней с даты подписания Акта внеплановой проверки информация о дате и результатах проведения проверки размещается на сайте саморегулируемой организации в информационно-телекоммуникационной сети «Интернет».</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Копия Акта внеплановой проверки представляется саморегулируемой организацией в орган по контролю (надзору) в случаях и в сроки, определенные действующим законодательством Российской Федерации о несостоятельности (банкротстве).</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Организация работы Контрольной комиссии</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426"/>
        </w:tabs>
        <w:spacing w:after="0" w:line="240" w:lineRule="auto"/>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Заседания Контрольной комиссии проводятся по мере необходимости решения вопросов, относящихся к его компетенции.</w:t>
      </w:r>
    </w:p>
    <w:p w:rsidR="00000000" w:rsidDel="00000000" w:rsidP="00000000" w:rsidRDefault="00000000" w:rsidRPr="00000000" w14:paraId="00000065">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Заседания Контрольной комиссии могут проводиться очно или заочно, с использованием телефонной, селекторной, конференцсвязи или сети Интернет.</w:t>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Акты плановых или внеплановых проверок составляются в двух экземплярах и подписываются Председателем и членами Контрольной комиссии в день составления.</w:t>
      </w:r>
    </w:p>
    <w:p w:rsidR="00000000" w:rsidDel="00000000" w:rsidP="00000000" w:rsidRDefault="00000000" w:rsidRPr="00000000" w14:paraId="00000067">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Документы, использованные в ходе проверки, и (или) их электронные копии прилагаются к Актам плановых и внеплановых проверок либо указывается их местонахождение. Один экземпляр Акта плановой или внеплановой проверки с приложенными документами и (или) электронными копиями подлежит хранению в саморегулируемой организации в течение 3 лет в электронном виде.</w:t>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Все документы Контрольной комиссии (выписки из протоколов, протоколы) хранятся в электронном виде в течение 3 лет. При возникновении необходимости (запросы, проверки), соответствующие документы распечатываются, брошюруются, нумеруются и заверяются подписью Председателя Контрольной комиссии.</w:t>
      </w:r>
    </w:p>
    <w:p w:rsidR="00000000" w:rsidDel="00000000" w:rsidP="00000000" w:rsidRDefault="00000000" w:rsidRPr="00000000" w14:paraId="00000069">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вступает в силу с момента утверждения Советом Союза.</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Изменения и дополнения к настоящему Положению вступают в силу после их утверждения Советом Союза.</w:t>
      </w:r>
    </w:p>
    <w:sectPr>
      <w:footerReference r:id="rId7" w:type="default"/>
      <w:footerReference r:id="rId8" w:type="first"/>
      <w:pgSz w:h="16838" w:w="11906" w:orient="portrait"/>
      <w:pgMar w:bottom="851" w:top="709" w:left="1276"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69" w:hanging="360"/>
      </w:pPr>
      <w:rPr/>
    </w:lvl>
    <w:lvl w:ilvl="2">
      <w:start w:val="1"/>
      <w:numFmt w:val="decimal"/>
      <w:lvlText w:val="%1.%2.%3."/>
      <w:lvlJc w:val="left"/>
      <w:pPr>
        <w:ind w:left="1778" w:hanging="720"/>
      </w:pPr>
      <w:rPr/>
    </w:lvl>
    <w:lvl w:ilvl="3">
      <w:start w:val="1"/>
      <w:numFmt w:val="decimal"/>
      <w:lvlText w:val="%1.%2.%3.%4."/>
      <w:lvlJc w:val="left"/>
      <w:pPr>
        <w:ind w:left="2127" w:hanging="720"/>
      </w:pPr>
      <w:rPr/>
    </w:lvl>
    <w:lvl w:ilvl="4">
      <w:start w:val="1"/>
      <w:numFmt w:val="decimal"/>
      <w:lvlText w:val="%1.%2.%3.%4.%5."/>
      <w:lvlJc w:val="left"/>
      <w:pPr>
        <w:ind w:left="2836" w:hanging="1078.9999999999998"/>
      </w:pPr>
      <w:rPr/>
    </w:lvl>
    <w:lvl w:ilvl="5">
      <w:start w:val="1"/>
      <w:numFmt w:val="decimal"/>
      <w:lvlText w:val="%1.%2.%3.%4.%5.%6."/>
      <w:lvlJc w:val="left"/>
      <w:pPr>
        <w:ind w:left="3185" w:hanging="1080"/>
      </w:pPr>
      <w:rPr/>
    </w:lvl>
    <w:lvl w:ilvl="6">
      <w:start w:val="1"/>
      <w:numFmt w:val="decimal"/>
      <w:lvlText w:val="%1.%2.%3.%4.%5.%6.%7."/>
      <w:lvlJc w:val="left"/>
      <w:pPr>
        <w:ind w:left="3894" w:hanging="1440"/>
      </w:pPr>
      <w:rPr/>
    </w:lvl>
    <w:lvl w:ilvl="7">
      <w:start w:val="1"/>
      <w:numFmt w:val="decimal"/>
      <w:lvlText w:val="%1.%2.%3.%4.%5.%6.%7.%8."/>
      <w:lvlJc w:val="left"/>
      <w:pPr>
        <w:ind w:left="4243" w:hanging="1440"/>
      </w:pPr>
      <w:rPr/>
    </w:lvl>
    <w:lvl w:ilvl="8">
      <w:start w:val="1"/>
      <w:numFmt w:val="decimal"/>
      <w:lvlText w:val="%1.%2.%3.%4.%5.%6.%7.%8.%9."/>
      <w:lvlJc w:val="left"/>
      <w:pPr>
        <w:ind w:left="4952" w:hanging="1800"/>
      </w:pPr>
      <w:rPr/>
    </w:lvl>
  </w:abstractNum>
  <w:abstractNum w:abstractNumId="2">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cUS+DFq8Ms165HESZfjoS9OQg==">CgMxLjAyDmguYndiaTU5cGpvM25wOAByITFBZXFfUE1zY1ZIdWZHcWxsM01mN1oyUGc2cTR5bE1JSg==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2026-02-04T07:39:00Z</dcterms:created>
  <dc:creator>User</dc:creator>
</cp:coreProperties>
</file>