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утв. решением Совета Союза</w:t>
      </w:r>
    </w:p>
    <w:p w:rsidR="00000000" w:rsidDel="00000000" w:rsidP="00000000" w:rsidRDefault="00000000" w:rsidRPr="00000000" w14:paraId="00000002">
      <w:pPr>
        <w:spacing w:after="0" w:line="240" w:lineRule="auto"/>
        <w:jc w:val="righ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протокол № 1  от 03.02.2026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3"/>
          <w:szCs w:val="23"/>
          <w:rtl w:val="0"/>
        </w:rPr>
        <w:t xml:space="preserve">ПОЛОЖЕНИЕ О РАСКРЫТИИ ИНФОРМАЦИИ И ИНФОРМАЦИОННОЙ ОТКРЫТОСТИ СРО СОЮЗ АРБИТРАЖНЫХ УПРАВЛЯЮЩИХ «ПРОРЕШЕНИЯ»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Общие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firstLine="709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о раскрытии информации и информационной открытости Союза «Саморегулируемая организация арбитражных управляющих «ПроРешения» (далее – Положение) разработаны в соответствии с Федеральным законом от 01.12.2007 г. № 315-ФЗ «О саморегулируемых организациях», Федеральным законом от 26.10.2002 г. № 127-ФЗ «О несостоятельности (банкротстве)», другими федеральными законами, Федеральным стандартом деятельности саморегулируемых организаций арбитражных управляющих «Правила проведения саморегулируемой организацией арбитражных управляющих проверок профессиональной деятельности членов саморегулируемой организации в части соблюдения требований Федерального закона «О несостоятельности (банкротстве)», иными нормативными правовыми актами Российской Федерации, федеральными стандартами, утвержденными Приказами Минэкономразвития Российской Федерации, а также Уставом Союза «Саморегулируемая организация арбитражных управляющих «ПроРешения» (далее – Союз, саморегулируемая организация).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обеспечивает свободный доступ к информации о своей деятельности и деятельности своих членов, обязанность саморегулируемых организаций по раскрытию которой установлена в соответствии с требованиями Гражданским кодексом Российской Федерации, Федеральными законами «О некоммерческих организациях», «О саморегулируемых организациях», Федеральным законом «О несостоятельности (банкротстве)», иными правовыми актами Российской Федерации и Уставом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для обеспечения доступа к информации создает и ведет в информационно-телекоммуникационной сети «Интернет» сайт, в электронный адрес которого включено доменное имя, права на которое принадлежат Союзу (далее – официальный сайт).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осуществляет раскрытие информации на сайте https://sro-proresheniya.ru/.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разработано с целью обеспечения процесса раскрытия информации о деятельности Союза и деятельности его членов в объёме, определяемом в соответствии с действующим законодательством Российской Федерации, а также внутренними документами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27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Раскрытие информации о деятельности Союза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Раскрытию подлежит следующая информация: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сведения, содержащиеся в реестре членов Союза, в том числе сведения о лицах, прекративших свое членство в Союзе;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стандарты и правила профессиональной деятельности членов Союза, а также внутренние документы Союза в электронной форме. К внутренним документам относятся: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документы, устанавливающие порядок осуществления контроля за соблюдением членами Союза требований стандартов и правил Союза, условий членства в Союзе и порядок применения мер дисциплинарного воздействия в отношении членов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положение о раскрытии информации, устанавливающее порядок обеспечения информационной открытости деятельности Союза и деятельности ее членов;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порядок размещения средств компенсационного фонда в целях их сохранения и прироста, направления их размещения (инвестиционная декларация);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требования к членству в Союзе, в том числе установленные размеры вступительных взносов, членских взносов и порядок их уплаты, а также порядок прекращения членства в Союзе;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правила прохождения стажировки в качестве помощника арбитражного управляющего;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порядок проведения процедуры выбора кандидатуры арбитражного управляющего;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иные документы;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3) информацию о структуре и компетенции органов управления и специализированных органов Союза, количественном и персональном составе постоянно действующего коллегиального органа управления, о лице, осуществляющем функции единоличного исполнительного органа Союза;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4) решения, принятые Общим собранием членов Союза и Советом Союза;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5) информацию об исках и о заявлениях, поданных Союзом в суды;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6) информацию о способах и порядке обеспечения имущественной ответственности членов Союза перед потребителями произведенных ими товаров (работ, услуг) и иными лицами;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7) информацию об управляющей компании и специализированном депозитарии, с которыми Союзом заключены соответствующие договоры;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8) информацию о составе и стоимости имущества компенсационного фонда Союза;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10) копи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в электронной форме плана проверок членов Союза, а также общую информацию о проверках, проведенных в отношении членов Союза за два предшествующих года;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11) годов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ая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бухгалтерск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ая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 (финансов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ая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) отчетность Союза и аудиторское заключение в отношении указанной отчетности (при его наличии);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12) полное и сокращенное наименование Союза, место ее нахождения, номера контактных телефонов и адрес электронной почты;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13) иную предусмотренную федеральными законами информацию.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Любые изменения, внесенные в документы и информацию, указанные в пункте 2.1 настоящего Положения, должны быть размещены на официальном сайте в течение 5 (пяти) рабочих дней со дня, следующего за днем наступления события, повлекшего за собой такие изменения.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Информация о составе и стоимости имущества компенсационного фонда Союза подлежит размещению на официальном сайте ежеквартально не позднее чем в течение 5 (пяти) рабочих дней с начала очередного квартала.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вправе раскрывать иную информацию о своей деятельности и деятельности своих членов, если такое раскрытие не влечет за собой нарушение установленных членами Союза порядка и условий доступа к информации, составляющей коммерческую тайну, а также возникновение конфликта интересов Союза, интересов ее членов и определяется Союзом в качестве обоснованной меры повышения качества саморегулирования и информационной открытости деятельности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Раскрытие информации о деятельности членов Союза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Все члены Союза обязаны представлять в Союз информацию о своей деятельности в объеме и порядке, определенном в соответствии с действующим законодательством Российской Федерации, а также установленную внутренними документами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Союз в сроки, установленные действующим законодательством Российской Федерации, представляет в орган по контролю (надзору), а также размещает на официальном сайте Союза информацию: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 лицах, принятых в члены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 лицах, прекративших членство в Союзе, и об основаниях прекращения членства;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 состоявшемся утверждении арбитражных управляющих, являющихся членами Союза, в делах о банкротстве;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 поступивших жалобах на неисполнение или ненадлежащее исполнение арбитражными управляющими возложенных на них обязанностей в делах банкротстве и об итогах рассмотрения таких жалоб;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иную информацию о деятельности своих членов предусмотренную федеральными законами и (или) установленную внутренними документами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426"/>
          <w:tab w:val="left" w:leader="none" w:pos="1418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Правила обеспечения информационной открытости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Арбитражны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управляющий обязан раскрывать Союзу информацию о своей профессиональной деятельности в форме отчетов в порядке и с периодичностью, которые установлены внутренними документами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Арбитражный управляющий обязан предоставить по запросам структурных органов и подразделений Союза сведения относительно своей профессиональной деятельности. В случае проведения проверки деятельности арбитражного управляющего он обязан предоставлять всю необходимую для принятия решения информацию и оказывать всемерное содействие, давать объяснения, обеспечивать доступ на предприятие.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Арбитражный управляющий обязан уведомлять Союз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Союза, в течение 3 (трех) рабочих дней со дня, следующего за днем наступления таких событий.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Арбитражный управляющий обязан незамедлительно информировать Союз о возникновении следующих обстоятельствах: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bookmarkStart w:colFirst="0" w:colLast="0" w:name="_heading=h.aubz7epaa0b7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 возможности взыскания убытков, причиненных при осуществлении им профессиональной деятельности лицам, участвующим в деле о банкротстве;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об угрозе обращения взыскания на средства компенсационного фонда Союза;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134"/>
        </w:tabs>
        <w:spacing w:after="0" w:line="240" w:lineRule="auto"/>
        <w:ind w:left="0" w:firstLine="709"/>
        <w:jc w:val="both"/>
        <w:rPr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о предъявлении заинтересованными лицами в суд исковых заявлений о взыскании с арбитражного управляющего причиненных убытков.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426"/>
        </w:tabs>
        <w:spacing w:after="0" w:line="240" w:lineRule="auto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ind w:left="0" w:firstLine="0"/>
        <w:jc w:val="center"/>
        <w:rPr>
          <w:rFonts w:ascii="Times New Roman" w:cs="Times New Roman" w:eastAsia="Times New Roman" w:hAnsi="Times New Roman"/>
          <w:color w:val="000000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  <w:rtl w:val="0"/>
        </w:rPr>
        <w:t xml:space="preserve">Заключительные положения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</w:tabs>
        <w:spacing w:after="0" w:line="240" w:lineRule="auto"/>
        <w:rPr>
          <w:rFonts w:ascii="Times New Roman" w:cs="Times New Roman" w:eastAsia="Times New Roman" w:hAnsi="Times New Roman"/>
          <w:b w:val="1"/>
          <w:bCs w:val="1"/>
          <w:color w:val="000000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8"/>
        </w:tabs>
        <w:spacing w:after="0" w:before="0" w:line="240" w:lineRule="auto"/>
        <w:ind w:left="0" w:righ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Доступ к документам и информации, размещенным на официальном сайте Союза, обеспечивается технологическими, программными, лингвистическими средствами обеспечения пользования официальным сайтом, соответствующими требованиям </w:t>
      </w: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Приказа Министерства экономического развития РФ от 31.12.2013 № 803.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Настоящее Положение вступает в силу с момента утверждения Советом Союза.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418"/>
        </w:tabs>
        <w:spacing w:after="0" w:line="240" w:lineRule="auto"/>
        <w:ind w:left="0" w:firstLine="709"/>
        <w:jc w:val="both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3"/>
          <w:szCs w:val="23"/>
          <w:rtl w:val="0"/>
        </w:rPr>
        <w:t xml:space="preserve">Изменения и дополнения к настоящему Положению вступают в силу после их утверждения Советом Союза.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993" w:top="851" w:left="1560" w:right="85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778" w:hanging="720"/>
      </w:pPr>
      <w:rPr/>
    </w:lvl>
    <w:lvl w:ilvl="3">
      <w:start w:val="1"/>
      <w:numFmt w:val="decimal"/>
      <w:lvlText w:val="%1.%2.%3.%4."/>
      <w:lvlJc w:val="left"/>
      <w:pPr>
        <w:ind w:left="2127" w:hanging="720"/>
      </w:pPr>
      <w:rPr/>
    </w:lvl>
    <w:lvl w:ilvl="4">
      <w:start w:val="1"/>
      <w:numFmt w:val="decimal"/>
      <w:lvlText w:val="%1.%2.%3.%4.%5."/>
      <w:lvlJc w:val="left"/>
      <w:pPr>
        <w:ind w:left="2836" w:hanging="1078.9999999999998"/>
      </w:pPr>
      <w:rPr/>
    </w:lvl>
    <w:lvl w:ilvl="5">
      <w:start w:val="1"/>
      <w:numFmt w:val="decimal"/>
      <w:lvlText w:val="%1.%2.%3.%4.%5.%6."/>
      <w:lvlJc w:val="left"/>
      <w:pPr>
        <w:ind w:left="3185" w:hanging="1080"/>
      </w:pPr>
      <w:rPr/>
    </w:lvl>
    <w:lvl w:ilvl="6">
      <w:start w:val="1"/>
      <w:numFmt w:val="decimal"/>
      <w:lvlText w:val="%1.%2.%3.%4.%5.%6.%7."/>
      <w:lvlJc w:val="left"/>
      <w:pPr>
        <w:ind w:left="3894" w:hanging="1440"/>
      </w:pPr>
      <w:rPr/>
    </w:lvl>
    <w:lvl w:ilvl="7">
      <w:start w:val="1"/>
      <w:numFmt w:val="decimal"/>
      <w:lvlText w:val="%1.%2.%3.%4.%5.%6.%7.%8."/>
      <w:lvlJc w:val="left"/>
      <w:pPr>
        <w:ind w:left="4243" w:hanging="1440"/>
      </w:pPr>
      <w:rPr/>
    </w:lvl>
    <w:lvl w:ilvl="8">
      <w:start w:val="1"/>
      <w:numFmt w:val="decimal"/>
      <w:lvlText w:val="%1.%2.%3.%4.%5.%6.%7.%8.%9."/>
      <w:lvlJc w:val="left"/>
      <w:pPr>
        <w:ind w:left="4952" w:hanging="1800"/>
      </w:pPr>
      <w:rPr/>
    </w:lvl>
  </w:abstractNum>
  <w:abstractNum w:abstractNumId="2">
    <w:lvl w:ilvl="0">
      <w:start w:val="1"/>
      <w:numFmt w:val="decimal"/>
      <w:lvlText w:val="3.%1."/>
      <w:lvlJc w:val="left"/>
      <w:pPr>
        <w:ind w:left="5606" w:hanging="360"/>
      </w:pPr>
      <w:rPr>
        <w:b w:val="0"/>
        <w:bCs w:val="0"/>
        <w:color w:val="000000"/>
      </w:rPr>
    </w:lvl>
    <w:lvl w:ilvl="1">
      <w:start w:val="1"/>
      <w:numFmt w:val="lowerLetter"/>
      <w:lvlText w:val="%2."/>
      <w:lvlJc w:val="left"/>
      <w:pPr>
        <w:ind w:left="2357" w:hanging="360"/>
      </w:pPr>
      <w:rPr/>
    </w:lvl>
    <w:lvl w:ilvl="2">
      <w:start w:val="1"/>
      <w:numFmt w:val="lowerRoman"/>
      <w:lvlText w:val="%3."/>
      <w:lvlJc w:val="right"/>
      <w:pPr>
        <w:ind w:left="3077" w:hanging="180"/>
      </w:pPr>
      <w:rPr/>
    </w:lvl>
    <w:lvl w:ilvl="3">
      <w:start w:val="1"/>
      <w:numFmt w:val="decimal"/>
      <w:lvlText w:val="%4."/>
      <w:lvlJc w:val="left"/>
      <w:pPr>
        <w:ind w:left="3797" w:hanging="360"/>
      </w:pPr>
      <w:rPr/>
    </w:lvl>
    <w:lvl w:ilvl="4">
      <w:start w:val="1"/>
      <w:numFmt w:val="lowerLetter"/>
      <w:lvlText w:val="%5."/>
      <w:lvlJc w:val="left"/>
      <w:pPr>
        <w:ind w:left="4517" w:hanging="360"/>
      </w:pPr>
      <w:rPr/>
    </w:lvl>
    <w:lvl w:ilvl="5">
      <w:start w:val="1"/>
      <w:numFmt w:val="lowerRoman"/>
      <w:lvlText w:val="%6."/>
      <w:lvlJc w:val="right"/>
      <w:pPr>
        <w:ind w:left="5237" w:hanging="180"/>
      </w:pPr>
      <w:rPr/>
    </w:lvl>
    <w:lvl w:ilvl="6">
      <w:start w:val="1"/>
      <w:numFmt w:val="decimal"/>
      <w:lvlText w:val="%7."/>
      <w:lvlJc w:val="left"/>
      <w:pPr>
        <w:ind w:left="5957" w:hanging="360"/>
      </w:pPr>
      <w:rPr/>
    </w:lvl>
    <w:lvl w:ilvl="7">
      <w:start w:val="1"/>
      <w:numFmt w:val="lowerLetter"/>
      <w:lvlText w:val="%8."/>
      <w:lvlJc w:val="left"/>
      <w:pPr>
        <w:ind w:left="6677" w:hanging="360"/>
      </w:pPr>
      <w:rPr/>
    </w:lvl>
    <w:lvl w:ilvl="8">
      <w:start w:val="1"/>
      <w:numFmt w:val="lowerRoman"/>
      <w:lvlText w:val="%9."/>
      <w:lvlJc w:val="right"/>
      <w:pPr>
        <w:ind w:left="7397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)"/>
      <w:lvlJc w:val="left"/>
      <w:pPr>
        <w:ind w:left="1069" w:hanging="360"/>
      </w:pPr>
      <w:rPr/>
    </w:lvl>
    <w:lvl w:ilvl="1">
      <w:start w:val="1"/>
      <w:numFmt w:val="lowerLetter"/>
      <w:lvlText w:val="%2."/>
      <w:lvlJc w:val="left"/>
      <w:pPr>
        <w:ind w:left="1789" w:hanging="360"/>
      </w:pPr>
      <w:rPr/>
    </w:lvl>
    <w:lvl w:ilvl="2">
      <w:start w:val="1"/>
      <w:numFmt w:val="lowerRoman"/>
      <w:lvlText w:val="%3."/>
      <w:lvlJc w:val="right"/>
      <w:pPr>
        <w:ind w:left="2509" w:hanging="180"/>
      </w:pPr>
      <w:rPr/>
    </w:lvl>
    <w:lvl w:ilvl="3">
      <w:start w:val="1"/>
      <w:numFmt w:val="decimal"/>
      <w:lvlText w:val="%4."/>
      <w:lvlJc w:val="left"/>
      <w:pPr>
        <w:ind w:left="3229" w:hanging="360"/>
      </w:pPr>
      <w:rPr/>
    </w:lvl>
    <w:lvl w:ilvl="4">
      <w:start w:val="1"/>
      <w:numFmt w:val="lowerLetter"/>
      <w:lvlText w:val="%5."/>
      <w:lvlJc w:val="left"/>
      <w:pPr>
        <w:ind w:left="3949" w:hanging="360"/>
      </w:pPr>
      <w:rPr/>
    </w:lvl>
    <w:lvl w:ilvl="5">
      <w:start w:val="1"/>
      <w:numFmt w:val="lowerRoman"/>
      <w:lvlText w:val="%6."/>
      <w:lvlJc w:val="right"/>
      <w:pPr>
        <w:ind w:left="4669" w:hanging="180"/>
      </w:pPr>
      <w:rPr/>
    </w:lvl>
    <w:lvl w:ilvl="6">
      <w:start w:val="1"/>
      <w:numFmt w:val="decimal"/>
      <w:lvlText w:val="%7."/>
      <w:lvlJc w:val="left"/>
      <w:pPr>
        <w:ind w:left="5389" w:hanging="360"/>
      </w:pPr>
      <w:rPr/>
    </w:lvl>
    <w:lvl w:ilvl="7">
      <w:start w:val="1"/>
      <w:numFmt w:val="lowerLetter"/>
      <w:lvlText w:val="%8."/>
      <w:lvlJc w:val="left"/>
      <w:pPr>
        <w:ind w:left="6109" w:hanging="360"/>
      </w:pPr>
      <w:rPr/>
    </w:lvl>
    <w:lvl w:ilvl="8">
      <w:start w:val="1"/>
      <w:numFmt w:val="lowerRoman"/>
      <w:lvlText w:val="%9."/>
      <w:lvlJc w:val="right"/>
      <w:pPr>
        <w:ind w:left="6829" w:hanging="18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a5">
    <w:name w:val="annotation text"/>
    <w:basedOn w:val="a"/>
    <w:link w:val="a6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a6" w:customStyle="1">
    <w:name w:val="Текст примечания Знак"/>
    <w:basedOn w:val="a0"/>
    <w:link w:val="a5"/>
    <w:uiPriority w:val="99"/>
    <w:semiHidden w:val="1"/>
    <w:rPr>
      <w:sz w:val="20"/>
      <w:szCs w:val="20"/>
    </w:rPr>
  </w:style>
  <w:style w:type="character" w:styleId="a7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8">
    <w:name w:val="Balloon Text"/>
    <w:basedOn w:val="a"/>
    <w:link w:val="a9"/>
    <w:uiPriority w:val="99"/>
    <w:semiHidden w:val="1"/>
    <w:unhideWhenUsed w:val="1"/>
    <w:rsid w:val="00A122F1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9" w:customStyle="1">
    <w:name w:val="Текст выноски Знак"/>
    <w:basedOn w:val="a0"/>
    <w:link w:val="a8"/>
    <w:uiPriority w:val="99"/>
    <w:semiHidden w:val="1"/>
    <w:rsid w:val="00A122F1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DbZoQBUBGghde1p7aWWAjdiRqQ==">CgMxLjAyDmguYXViejdlcGFhMGI3OAByITFETzFYdko4WWRGQkZNcEphZDZ0VTFBbDdMMmd6elQwdw==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2026-02-04T07:23:00Z</dcterms:created>
  <dc:creator>User</dc:creator>
</cp:coreProperties>
</file>