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highlight w:val="white"/>
          <w:rtl w:val="0"/>
        </w:rPr>
        <w:t xml:space="preserve">утв. решением Совета Союза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3"/>
          <w:szCs w:val="23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highlight w:val="white"/>
          <w:rtl w:val="0"/>
        </w:rPr>
        <w:t xml:space="preserve">протокол № 1  от 03.02.2026 г.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СТАНДАРТЫ И ПРАВИЛА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ПРОФЕССИОНАЛЬНОЙ ДЕЯТЕЛЬНОСТИ ЧЛЕНОВ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"/>
          <w:szCs w:val="23"/>
          <w:rtl w:val="0"/>
        </w:rPr>
        <w:t xml:space="preserve">СРО СОЮЗ АРБИТРАЖНЫХ УПРАВЛЯЮЩИХ «ПРОРЕШЕНИЯ»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Общие положения</w:t>
      </w:r>
    </w:p>
    <w:p w:rsidR="00000000" w:rsidDel="00000000" w:rsidP="00000000" w:rsidRDefault="00000000" w:rsidRPr="00000000" w14:paraId="0000000A">
      <w:pPr>
        <w:spacing w:after="0" w:line="240" w:lineRule="auto"/>
        <w:ind w:firstLine="709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Настоящие </w:t>
      </w:r>
      <w:r w:rsidDel="00000000" w:rsidR="00000000" w:rsidRPr="00000000">
        <w:rPr>
          <w:rFonts w:ascii="Times New Roman" w:cs="Times New Roman" w:eastAsia="Times New Roman" w:hAnsi="Times New Roman"/>
          <w:sz w:val="23"/>
          <w:szCs w:val="23"/>
          <w:rtl w:val="0"/>
        </w:rPr>
        <w:t xml:space="preserve">Стандарты и правила профессиональной деятельности членов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 Союза «Саморегулируемая организация арбитражных управляющих «ПроРешения» (далее – Положение) разработаны в соответствии с Федеральным законом от 01.12.2007 г. № 315-ФЗ «О саморегулируемых организациях», Федеральным законом от 26.10.2002 г. № 127-ФЗ «О несостоятельности (банкротстве)», другими федеральными законами, Федеральным стандартом деятельности саморегулируемых организаций арбитражных управляющих «Правила проведения саморегулируемой организацией арбитражных управляющих проверок профессиональной деятельности членов саморегулируемой организации в части соблюдения требований Федерального закона «О несостоятельности (банкротстве)», иными нормативными правовыми актами Российской Федерации, федеральными стандартами, утвержденными Приказами Минэкономразвития Российской Федерации, а также Уставом Союза «Саморегулируемая организация арбитражных управляющих «ПроРешения» (далее – Союз, саморегулируемая организация).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Стандарты и правила представляют собой свод принципов и требований, которые должны выполнять члены Союза при осуществлении своей профессиональной деятельности.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Под профессиональной деятельностью арбитражного управляющего понимается деятельность члена Союза в качестве арбитражного управляющего, утвержденного арбитражным судом для проведения процедур банкротства, определенных Федеральным законом «О несостоятельности (банкротстве)».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Целью настоящих Стандартов и правил является: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276"/>
        </w:tabs>
        <w:spacing w:after="0" w:before="0" w:line="240" w:lineRule="auto"/>
        <w:ind w:left="0" w:right="0" w:firstLine="709"/>
        <w:jc w:val="both"/>
        <w:rPr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установление стандартов и правил профессиональной деятельности, норм и правил корпоративного поведения членов Союза для повышения деловой репутации Союза;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276"/>
        </w:tabs>
        <w:spacing w:after="0" w:before="0" w:line="240" w:lineRule="auto"/>
        <w:ind w:left="0" w:right="0" w:firstLine="709"/>
        <w:jc w:val="both"/>
        <w:rPr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минимизация рисков причинения убытков лицам, участвующим в деле о банкротстве;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  <w:tab w:val="left" w:leader="none" w:pos="1276"/>
        </w:tabs>
        <w:spacing w:after="0" w:before="0" w:line="240" w:lineRule="auto"/>
        <w:ind w:left="0" w:right="0" w:firstLine="709"/>
        <w:jc w:val="both"/>
        <w:rPr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эффективное взаимодействие членов Союза, Союза с органами государственной власти, органами местного самоуправления и обществом.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Действие настоящих Стандартов и правил профессиональной деятельности распространяется на всех членов Ассоциации, изложенные нормы являются добровольно принятой на себя обязанностью членами Союзами при осуществлении деятельности в качестве арбитражных управляющих. </w:t>
      </w:r>
    </w:p>
    <w:p w:rsidR="00000000" w:rsidDel="00000000" w:rsidP="00000000" w:rsidRDefault="00000000" w:rsidRPr="00000000" w14:paraId="00000013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Общие требования к членам Союза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Членами Союза могут быть граждане Российской Федерации, которые осуществляют профессиональную деятельность на рынке несостоятельности (банкротства) и отвечают требованиям ст. 20 Федерального закона «О несостоятельности (банкротстве)» и Устава Союза.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Арбитражный управляющий может являться только членом Союза (одной саморегулируемой организации арбитражных управляющих).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В своей профессиональной деятельности член Союза обязан руководствоваться законодательством Российской Федерации, соблюдать требования Устава и внутренних положений Союза, а также выполнять решения органов управления Союза.</w:t>
      </w:r>
    </w:p>
    <w:p w:rsidR="00000000" w:rsidDel="00000000" w:rsidP="00000000" w:rsidRDefault="00000000" w:rsidRPr="00000000" w14:paraId="00000019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Стандарты и правила профессиональной деятельности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Арбитражный управляющий – член Союза, при проведении процедур, применяемых в деле о банкротстве, сознавая свою ответственность перед государством, обществом, кредиторами, должником, иными лицами, участвующими в деле о банкротстве, а также перед Союзом, обязан: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осуществлять свою профессиональную деятельность, основываясь на принципах независимости, объективности, добросовестности, разумности и самостоятельности в реализации своих полномочий, установленных Федеральным законом «О несостоятельности (банкротстве)»;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действовать в равной степени в интересах всех лиц, участвующих в деле о банкротстве, а также иных лиц, имеющих законные права и интересы в деле о банкротстве;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не передать другим лицам осуществление полномочий, которые он обязан исполнять лично в соответствии с Федеральным законом «О несостоятельности (банкротстве)»;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неукоснительно соблюдать условия членства в Союзе, Устав Союза и исполнять решения, предписания и иные распоряжения органов управления и специализированных органов Союза, принятые в рамках их компетенции;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участвовать в деятельности Союза, содействовать в управлении делами Союза;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принимать необходимые меры по обеспечению соответствия требованиям, предъявляемым законодательством Российской Федерации к арбитражным управляющим;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хранить государственную и иную охраняемую законом тайну, а также не разглашать ставшие ему известными в связи с исполнением его обязанностей конфиденциальные сведения, за исключением случаев, когда этого требует законодательство Российской Федерации;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заботиться о поддержании собственной чести, достоинства и деловой репутации, а также деловой репутации Союза;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доброжелательно относиться к другим арбитражным управляющим, воздерживается от необоснованной критики их деятельности и иных сознательных действий, причиняющих ущерб профессиональной репутации коллегам по профессии;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добросовестно исполнять возложенные на него обязанности по обучению помощника арбитражного управляющего в случае назначения руководителем стажировки;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оказывать содействие лицам в подготовке и реализации мер, направленных на восстановление платежеспособности должника, в подготовке и реализации процедур финансового оздоровления и мирового соглашения;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подать заявление в арбитражный суд о досрочном прекращении своих обязанностей незамедлительно по собственной инициативе во всех случаях возникновения либо выявления обстоятельств, препятствующих в соответствии с Федеральным законом «О несостоятельности (банкротстве)» исполнению им обязанностей арбитражного управляющего в деле о банкротстве;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принимать все предусмотренные законодательством меры по защите имущества должника, выявлению и возврату имущества должника, находящегося у третьих лиц;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обеспечить при отчуждении имущества должника открытость и доступность информации о планируемых и совершенных сделках, о торгах по продаже имущества должника, о порядке и условиях участия в них;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стремиться к успешному завершению процедуры банкротства в минимальные сроки, установленные Федеральным законом «О несостоятельности (банкротстве)»;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пользоваться услугами организаций, оказывающих услуги в сфере антикризисного управления, которые аккредитованы Союзом в установленном порядке;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не использовать в неслужебных целях средства материально-технического и информационного обеспечения, финансовые средства, а также служебную информацию должника;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соблюдать все требования, предусмотренные законодательством, предъявляемые к руководителю юридического лица, и обеспечивать исполнение должником всех обязанностей, вытекающих из его статуса как юридического лица, в частности, своевременно представлять бухгалтерскую, статистическую и иную отчетность в налоговые органы, органы государственных внебюджетных фондов и другие органы, а также передавать документы, подлежащие обязательному хранению в государственные архивы, в порядке и сроки, предусмотренные законодательством;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стремиться к снижению социальной напряженности в регионе, районе, городе, селе, на которые оказывает влияние деятельность предприятия, в отношении которого он осуществляет процедуру банкротства;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добросовестно исполнять возложенные обязанности по обучению помощника арбитражного управляющего в случае назначения руководителем стажировки.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содействовать участникам (собственнику) должника в подготовке и реализации процедур финансового оздоровления, мирового соглашения, а также иных мероприятий, направленных на удовлетворение требований кредиторов и ликвидацию признаков несостоятельности (банкротства);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отказаться от утверждения в новой процедуре банкротства в случае, если он не может совмещать участие в нескольких процедурах банкротства, уделяя достаточное с точки зрения обеспечения их эффективности внимание всем проводимым им процедурам;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отказаться от представления своей кандидатуры или от утверждения в деле о несостоятельности (банкротстве), если у него имеются обоснованные сомнения в возможности в конкретных обстоятельствах обеспечить непредвзятое проведение процедуры банкротства;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в случае осуществления компенсационной выплаты незамедлительно возмещать членам Союза убытки, возникшие в связи с необходимостью привести размер компенсационного фонда в соответствие с требованиями статьи 25.1 Федерального закона «О несостоятельности (банкротстве)».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Арбитражный управляющий не вправе получать вознаграждения от заинтересованных лиц и иного вознаграждения, кроме перечисленного в Федеральном законе «О несостоятельности (банкротстве)».</w:t>
      </w:r>
    </w:p>
    <w:p w:rsidR="00000000" w:rsidDel="00000000" w:rsidP="00000000" w:rsidRDefault="00000000" w:rsidRPr="00000000" w14:paraId="00000036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Правила обеспечения информационной открытости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Арбитражный̆ управляющий̆ обязан раскрывать Союзу информацию о своей профессиональной деятельности в форме отчетов в порядке и с периодичностью, которые установлены внутренними документами Союза.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Арбитражный управляющий обязан предоставить по запросам структурных органов и подразделений Союза сведения относительно своей профессиональной деятельности. В случае проведения проверки деятельности арбитражного управляющего он обязан предоставлять всю необходимую для принятия решения информацию и оказывать всемерное содействие, давать объяснения, обеспечивать доступ на предприятие.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Арбитражный управляющий обязан незамедлительно информировать Союз о следующих обстоятельствах: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 возможности взыскания убытков, причиненных при осуществлении им профессиональной деятельности лицам, участвующим в деле о банкротстве;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об угрозе обращения взыскания на средства компенсационного фонда Союза;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о предъявлении заинтересованными лицами в суд исковых заявлений о взыскании с арбитражного управляющего причиненных убытков.</w:t>
      </w:r>
    </w:p>
    <w:p w:rsidR="00000000" w:rsidDel="00000000" w:rsidP="00000000" w:rsidRDefault="00000000" w:rsidRPr="00000000" w14:paraId="0000003F">
      <w:pPr>
        <w:tabs>
          <w:tab w:val="left" w:leader="none" w:pos="426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Заключительные положения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Настоящее Положение вступает в силу с момента утверждения Советом Союза.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Изменения и дополнения к настоящему Положению вступают в силу после их утверждения Советом Союза.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2223"/>
        </w:tabs>
        <w:rPr/>
      </w:pPr>
      <w:bookmarkStart w:colFirst="0" w:colLast="0" w:name="_ay9gwujlz8oz" w:id="0"/>
      <w:bookmarkEnd w:id="0"/>
      <w:r w:rsidDel="00000000" w:rsidR="00000000" w:rsidRPr="00000000">
        <w:rPr>
          <w:rtl w:val="0"/>
        </w:rPr>
        <w:tab/>
      </w:r>
    </w:p>
    <w:sectPr>
      <w:footerReference r:id="rId6" w:type="default"/>
      <w:pgSz w:h="16838" w:w="11906" w:orient="portrait"/>
      <w:pgMar w:bottom="993" w:top="851" w:left="1560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decimal"/>
      <w:lvlText w:val="%1.%2."/>
      <w:lvlJc w:val="left"/>
      <w:pPr>
        <w:ind w:left="2345" w:hanging="360"/>
      </w:pPr>
      <w:rPr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778" w:hanging="720"/>
      </w:pPr>
      <w:rPr/>
    </w:lvl>
    <w:lvl w:ilvl="3">
      <w:start w:val="1"/>
      <w:numFmt w:val="decimal"/>
      <w:lvlText w:val="%1.%2.%3.%4."/>
      <w:lvlJc w:val="left"/>
      <w:pPr>
        <w:ind w:left="2127" w:hanging="720"/>
      </w:pPr>
      <w:rPr/>
    </w:lvl>
    <w:lvl w:ilvl="4">
      <w:start w:val="1"/>
      <w:numFmt w:val="decimal"/>
      <w:lvlText w:val="%1.%2.%3.%4.%5."/>
      <w:lvlJc w:val="left"/>
      <w:pPr>
        <w:ind w:left="2836" w:hanging="1079.9999999999998"/>
      </w:pPr>
      <w:rPr/>
    </w:lvl>
    <w:lvl w:ilvl="5">
      <w:start w:val="1"/>
      <w:numFmt w:val="decimal"/>
      <w:lvlText w:val="%1.%2.%3.%4.%5.%6."/>
      <w:lvlJc w:val="left"/>
      <w:pPr>
        <w:ind w:left="3185" w:hanging="1080"/>
      </w:pPr>
      <w:rPr/>
    </w:lvl>
    <w:lvl w:ilvl="6">
      <w:start w:val="1"/>
      <w:numFmt w:val="decimal"/>
      <w:lvlText w:val="%1.%2.%3.%4.%5.%6.%7."/>
      <w:lvlJc w:val="left"/>
      <w:pPr>
        <w:ind w:left="3894" w:hanging="1440"/>
      </w:pPr>
      <w:rPr/>
    </w:lvl>
    <w:lvl w:ilvl="7">
      <w:start w:val="1"/>
      <w:numFmt w:val="decimal"/>
      <w:lvlText w:val="%1.%2.%3.%4.%5.%6.%7.%8."/>
      <w:lvlJc w:val="left"/>
      <w:pPr>
        <w:ind w:left="4243" w:hanging="1440"/>
      </w:pPr>
      <w:rPr/>
    </w:lvl>
    <w:lvl w:ilvl="8">
      <w:start w:val="1"/>
      <w:numFmt w:val="decimal"/>
      <w:lvlText w:val="%1.%2.%3.%4.%5.%6.%7.%8.%9."/>
      <w:lvlJc w:val="left"/>
      <w:pPr>
        <w:ind w:left="4952" w:hanging="1800"/>
      </w:pPr>
      <w:rPr/>
    </w:lvl>
  </w:abstractNum>
  <w:abstractNum w:abstractNumId="2">
    <w:lvl w:ilvl="0">
      <w:start w:val="1"/>
      <w:numFmt w:val="decimal"/>
      <w:lvlText w:val="3.%1."/>
      <w:lvlJc w:val="left"/>
      <w:pPr>
        <w:ind w:left="5606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ind w:left="2357" w:hanging="360"/>
      </w:pPr>
      <w:rPr/>
    </w:lvl>
    <w:lvl w:ilvl="2">
      <w:start w:val="1"/>
      <w:numFmt w:val="lowerRoman"/>
      <w:lvlText w:val="%3."/>
      <w:lvlJc w:val="right"/>
      <w:pPr>
        <w:ind w:left="3077" w:hanging="180"/>
      </w:pPr>
      <w:rPr/>
    </w:lvl>
    <w:lvl w:ilvl="3">
      <w:start w:val="1"/>
      <w:numFmt w:val="decimal"/>
      <w:lvlText w:val="%4."/>
      <w:lvlJc w:val="left"/>
      <w:pPr>
        <w:ind w:left="3797" w:hanging="360"/>
      </w:pPr>
      <w:rPr/>
    </w:lvl>
    <w:lvl w:ilvl="4">
      <w:start w:val="1"/>
      <w:numFmt w:val="lowerLetter"/>
      <w:lvlText w:val="%5."/>
      <w:lvlJc w:val="left"/>
      <w:pPr>
        <w:ind w:left="4517" w:hanging="360"/>
      </w:pPr>
      <w:rPr/>
    </w:lvl>
    <w:lvl w:ilvl="5">
      <w:start w:val="1"/>
      <w:numFmt w:val="lowerRoman"/>
      <w:lvlText w:val="%6."/>
      <w:lvlJc w:val="right"/>
      <w:pPr>
        <w:ind w:left="5237" w:hanging="180"/>
      </w:pPr>
      <w:rPr/>
    </w:lvl>
    <w:lvl w:ilvl="6">
      <w:start w:val="1"/>
      <w:numFmt w:val="decimal"/>
      <w:lvlText w:val="%7."/>
      <w:lvlJc w:val="left"/>
      <w:pPr>
        <w:ind w:left="5957" w:hanging="360"/>
      </w:pPr>
      <w:rPr/>
    </w:lvl>
    <w:lvl w:ilvl="7">
      <w:start w:val="1"/>
      <w:numFmt w:val="lowerLetter"/>
      <w:lvlText w:val="%8."/>
      <w:lvlJc w:val="left"/>
      <w:pPr>
        <w:ind w:left="6677" w:hanging="360"/>
      </w:pPr>
      <w:rPr/>
    </w:lvl>
    <w:lvl w:ilvl="8">
      <w:start w:val="1"/>
      <w:numFmt w:val="lowerRoman"/>
      <w:lvlText w:val="%9."/>
      <w:lvlJc w:val="right"/>
      <w:pPr>
        <w:ind w:left="7397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bullet"/>
      <w:lvlText w:val="●"/>
      <w:lvlJc w:val="left"/>
      <w:pPr>
        <w:ind w:left="2345" w:hanging="360"/>
      </w:pPr>
      <w:rPr>
        <w:rFonts w:ascii="Noto Sans Symbols" w:cs="Noto Sans Symbols" w:eastAsia="Noto Sans Symbols" w:hAnsi="Noto Sans Symbols"/>
        <w:b w:val="0"/>
        <w:bCs w:val="0"/>
        <w:color w:val="000000"/>
      </w:rPr>
    </w:lvl>
    <w:lvl w:ilvl="2">
      <w:start w:val="1"/>
      <w:numFmt w:val="decimal"/>
      <w:lvlText w:val="%1.●.%3."/>
      <w:lvlJc w:val="left"/>
      <w:pPr>
        <w:ind w:left="1778" w:hanging="720"/>
      </w:pPr>
      <w:rPr/>
    </w:lvl>
    <w:lvl w:ilvl="3">
      <w:start w:val="1"/>
      <w:numFmt w:val="decimal"/>
      <w:lvlText w:val="%1.●.%3.%4."/>
      <w:lvlJc w:val="left"/>
      <w:pPr>
        <w:ind w:left="2127" w:hanging="720"/>
      </w:pPr>
      <w:rPr/>
    </w:lvl>
    <w:lvl w:ilvl="4">
      <w:start w:val="1"/>
      <w:numFmt w:val="decimal"/>
      <w:lvlText w:val="%1.●.%3.%4.%5."/>
      <w:lvlJc w:val="left"/>
      <w:pPr>
        <w:ind w:left="2836" w:hanging="1079.9999999999998"/>
      </w:pPr>
      <w:rPr/>
    </w:lvl>
    <w:lvl w:ilvl="5">
      <w:start w:val="1"/>
      <w:numFmt w:val="decimal"/>
      <w:lvlText w:val="%1.●.%3.%4.%5.%6."/>
      <w:lvlJc w:val="left"/>
      <w:pPr>
        <w:ind w:left="3185" w:hanging="1080"/>
      </w:pPr>
      <w:rPr/>
    </w:lvl>
    <w:lvl w:ilvl="6">
      <w:start w:val="1"/>
      <w:numFmt w:val="decimal"/>
      <w:lvlText w:val="%1.●.%3.%4.%5.%6.%7."/>
      <w:lvlJc w:val="left"/>
      <w:pPr>
        <w:ind w:left="3894" w:hanging="1440"/>
      </w:pPr>
      <w:rPr/>
    </w:lvl>
    <w:lvl w:ilvl="7">
      <w:start w:val="1"/>
      <w:numFmt w:val="decimal"/>
      <w:lvlText w:val="%1.●.%3.%4.%5.%6.%7.%8."/>
      <w:lvlJc w:val="left"/>
      <w:pPr>
        <w:ind w:left="4243" w:hanging="1440"/>
      </w:pPr>
      <w:rPr/>
    </w:lvl>
    <w:lvl w:ilvl="8">
      <w:start w:val="1"/>
      <w:numFmt w:val="decimal"/>
      <w:lvlText w:val="%1.●.%3.%4.%5.%6.%7.%8.%9."/>
      <w:lvlJc w:val="left"/>
      <w:pPr>
        <w:ind w:left="4952" w:hanging="1800"/>
      </w:pPr>
      <w:rPr/>
    </w:lvl>
  </w:abstractNum>
  <w:abstractNum w:abstractNumId="4">
    <w:lvl w:ilvl="0">
      <w:start w:val="1"/>
      <w:numFmt w:val="decimal"/>
      <w:lvlText w:val="%1)"/>
      <w:lvlJc w:val="left"/>
      <w:pPr>
        <w:ind w:left="1069" w:hanging="360"/>
      </w:pPr>
      <w:rPr/>
    </w:lvl>
    <w:lvl w:ilvl="1">
      <w:start w:val="1"/>
      <w:numFmt w:val="lowerLetter"/>
      <w:lvlText w:val="%2."/>
      <w:lvlJc w:val="left"/>
      <w:pPr>
        <w:ind w:left="1789" w:hanging="360"/>
      </w:pPr>
      <w:rPr/>
    </w:lvl>
    <w:lvl w:ilvl="2">
      <w:start w:val="1"/>
      <w:numFmt w:val="lowerRoman"/>
      <w:lvlText w:val="%3."/>
      <w:lvlJc w:val="right"/>
      <w:pPr>
        <w:ind w:left="2509" w:hanging="180"/>
      </w:pPr>
      <w:rPr/>
    </w:lvl>
    <w:lvl w:ilvl="3">
      <w:start w:val="1"/>
      <w:numFmt w:val="decimal"/>
      <w:lvlText w:val="%4."/>
      <w:lvlJc w:val="left"/>
      <w:pPr>
        <w:ind w:left="3229" w:hanging="360"/>
      </w:pPr>
      <w:rPr/>
    </w:lvl>
    <w:lvl w:ilvl="4">
      <w:start w:val="1"/>
      <w:numFmt w:val="lowerLetter"/>
      <w:lvlText w:val="%5."/>
      <w:lvlJc w:val="left"/>
      <w:pPr>
        <w:ind w:left="3949" w:hanging="360"/>
      </w:pPr>
      <w:rPr/>
    </w:lvl>
    <w:lvl w:ilvl="5">
      <w:start w:val="1"/>
      <w:numFmt w:val="lowerRoman"/>
      <w:lvlText w:val="%6."/>
      <w:lvlJc w:val="right"/>
      <w:pPr>
        <w:ind w:left="4669" w:hanging="180"/>
      </w:pPr>
      <w:rPr/>
    </w:lvl>
    <w:lvl w:ilvl="6">
      <w:start w:val="1"/>
      <w:numFmt w:val="decimal"/>
      <w:lvlText w:val="%7."/>
      <w:lvlJc w:val="left"/>
      <w:pPr>
        <w:ind w:left="5389" w:hanging="360"/>
      </w:pPr>
      <w:rPr/>
    </w:lvl>
    <w:lvl w:ilvl="7">
      <w:start w:val="1"/>
      <w:numFmt w:val="lowerLetter"/>
      <w:lvlText w:val="%8."/>
      <w:lvlJc w:val="left"/>
      <w:pPr>
        <w:ind w:left="6109" w:hanging="360"/>
      </w:pPr>
      <w:rPr/>
    </w:lvl>
    <w:lvl w:ilvl="8">
      <w:start w:val="1"/>
      <w:numFmt w:val="lowerRoman"/>
      <w:lvlText w:val="%9."/>
      <w:lvlJc w:val="right"/>
      <w:pPr>
        <w:ind w:left="6829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